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yhpqwh2rzzxm"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i w:val="1"/>
          <w:iCs w:val="1"/>
          <w:sz w:val="38"/>
          <w:szCs w:val="38"/>
        </w:rPr>
      </w:pPr>
      <w:r w:rsidDel="00000000" w:rsidR="00000000" w:rsidRPr="00000000">
        <w:rPr>
          <w:rFonts w:ascii="Times New Roman" w:cs="Times New Roman" w:eastAsia="Times New Roman" w:hAnsi="Times New Roman"/>
          <w:b w:val="1"/>
          <w:bCs w:val="1"/>
          <w:sz w:val="90"/>
          <w:szCs w:val="90"/>
          <w:rtl w:val="0"/>
        </w:rPr>
        <w:t xml:space="preserve">General Assembly (GA)</w:t>
      </w: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i w:val="1"/>
          <w:iCs w:val="1"/>
          <w:sz w:val="32"/>
          <w:szCs w:val="32"/>
        </w:rPr>
      </w:pPr>
      <w:r w:rsidDel="00000000" w:rsidR="00000000" w:rsidRPr="00000000">
        <w:rPr>
          <w:rFonts w:ascii="Times New Roman" w:cs="Times New Roman" w:eastAsia="Times New Roman" w:hAnsi="Times New Roman"/>
          <w:i w:val="1"/>
          <w:iCs w:val="1"/>
          <w:sz w:val="32"/>
          <w:szCs w:val="32"/>
          <w:rtl w:val="0"/>
        </w:rPr>
        <w:t xml:space="preserve">              </w:t>
      </w:r>
      <w:r w:rsidDel="00000000" w:rsidR="00000000" w:rsidRPr="00000000">
        <w:rPr>
          <w:rFonts w:ascii="Times New Roman" w:cs="Times New Roman" w:eastAsia="Times New Roman" w:hAnsi="Times New Roman"/>
          <w:i w:val="1"/>
          <w:iCs w:val="1"/>
          <w:sz w:val="32"/>
          <w:szCs w:val="32"/>
        </w:rPr>
        <w:drawing>
          <wp:inline distB="114300" distT="114300" distL="114300" distR="114300">
            <wp:extent cx="4603681" cy="454342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03681" cy="4543423"/>
                    </a:xfrm>
                    <a:prstGeom prst="rect"/>
                    <a:ln/>
                  </pic:spPr>
                </pic:pic>
              </a:graphicData>
            </a:graphic>
          </wp:inline>
        </w:drawing>
      </w:r>
      <w:r w:rsidDel="00000000" w:rsidR="00000000" w:rsidRPr="00000000">
        <w:rPr>
          <w:rFonts w:ascii="Times New Roman" w:cs="Times New Roman" w:eastAsia="Times New Roman" w:hAnsi="Times New Roman"/>
          <w:i w:val="1"/>
          <w:iCs w:val="1"/>
          <w:sz w:val="32"/>
          <w:szCs w:val="32"/>
          <w:rtl w:val="0"/>
        </w:rPr>
        <w:t xml:space="preserve">     </w:t>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i w:val="1"/>
          <w:iCs w:val="1"/>
          <w:sz w:val="60"/>
          <w:szCs w:val="60"/>
        </w:rPr>
      </w:pPr>
      <w:r w:rsidDel="00000000" w:rsidR="00000000" w:rsidRPr="00000000">
        <w:rPr>
          <w:rFonts w:ascii="Times New Roman" w:cs="Times New Roman" w:eastAsia="Times New Roman" w:hAnsi="Times New Roman"/>
          <w:b w:val="1"/>
          <w:bCs w:val="1"/>
          <w:i w:val="1"/>
          <w:iCs w:val="1"/>
          <w:sz w:val="60"/>
          <w:szCs w:val="60"/>
          <w:rtl w:val="0"/>
        </w:rPr>
        <w:t xml:space="preserve"> Bani Malik and Chloe McPhee Won</w:t>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Contact us with any questions at:</w:t>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bCs w:val="1"/>
          <w:i w:val="1"/>
          <w:iCs w:val="1"/>
          <w:sz w:val="24"/>
          <w:szCs w:val="24"/>
        </w:rPr>
      </w:pPr>
      <w:hyperlink r:id="rId8">
        <w:r w:rsidDel="00000000" w:rsidR="00000000" w:rsidRPr="00000000">
          <w:rPr>
            <w:rFonts w:ascii="Times New Roman" w:cs="Times New Roman" w:eastAsia="Times New Roman" w:hAnsi="Times New Roman"/>
            <w:b w:val="1"/>
            <w:bCs w:val="1"/>
            <w:i w:val="1"/>
            <w:iCs w:val="1"/>
            <w:color w:val="1155cc"/>
            <w:sz w:val="24"/>
            <w:szCs w:val="24"/>
            <w:u w:val="single"/>
            <w:rtl w:val="0"/>
          </w:rPr>
          <w:t xml:space="preserve">Malikbani26@gmail.com</w:t>
        </w:r>
      </w:hyperlink>
      <w:r w:rsidDel="00000000" w:rsidR="00000000" w:rsidRPr="00000000">
        <w:rPr>
          <w:rFonts w:ascii="Times New Roman" w:cs="Times New Roman" w:eastAsia="Times New Roman" w:hAnsi="Times New Roman"/>
          <w:b w:val="1"/>
          <w:bCs w:val="1"/>
          <w:i w:val="1"/>
          <w:iCs w:val="1"/>
          <w:sz w:val="24"/>
          <w:szCs w:val="24"/>
          <w:rtl w:val="0"/>
        </w:rPr>
        <w:t xml:space="preserve"> and </w:t>
      </w:r>
      <w:hyperlink r:id="rId9">
        <w:r w:rsidDel="00000000" w:rsidR="00000000" w:rsidRPr="00000000">
          <w:rPr>
            <w:rFonts w:ascii="Times New Roman" w:cs="Times New Roman" w:eastAsia="Times New Roman" w:hAnsi="Times New Roman"/>
            <w:b w:val="1"/>
            <w:bCs w:val="1"/>
            <w:i w:val="1"/>
            <w:iCs w:val="1"/>
            <w:color w:val="1155cc"/>
            <w:sz w:val="24"/>
            <w:szCs w:val="24"/>
            <w:u w:val="single"/>
            <w:rtl w:val="0"/>
          </w:rPr>
          <w:t xml:space="preserve">Cmcpheewon@gmail.com</w:t>
        </w:r>
      </w:hyperlink>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08">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9">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of contents:</w:t>
      </w:r>
    </w:p>
    <w:p w:rsidR="00000000" w:rsidDel="00000000" w:rsidP="00000000" w:rsidRDefault="00000000" w:rsidRPr="00000000" w14:paraId="0000000A">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------------------------------------------------------------------------------------------ 1</w:t>
      </w:r>
    </w:p>
    <w:p w:rsidR="00000000" w:rsidDel="00000000" w:rsidP="00000000" w:rsidRDefault="00000000" w:rsidRPr="00000000" w14:paraId="0000000B">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General’s Letter --------------------------------------------------------------------- 3</w:t>
      </w:r>
    </w:p>
    <w:p w:rsidR="00000000" w:rsidDel="00000000" w:rsidP="00000000" w:rsidRDefault="00000000" w:rsidRPr="00000000" w14:paraId="0000000C">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Committee ------------------------------------------------------------------- 5</w:t>
      </w:r>
    </w:p>
    <w:p w:rsidR="00000000" w:rsidDel="00000000" w:rsidP="00000000" w:rsidRDefault="00000000" w:rsidRPr="00000000" w14:paraId="0000000D">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1: Addressing the Global Mental Health Crisis–---------------------------------- 6-9</w:t>
      </w:r>
    </w:p>
    <w:p w:rsidR="00000000" w:rsidDel="00000000" w:rsidP="00000000" w:rsidRDefault="00000000" w:rsidRPr="00000000" w14:paraId="0000000E">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Background to the issue—------------------------------------------------------------ 6</w:t>
      </w:r>
    </w:p>
    <w:p w:rsidR="00000000" w:rsidDel="00000000" w:rsidP="00000000" w:rsidRDefault="00000000" w:rsidRPr="00000000" w14:paraId="0000000F">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Relevant UN Action -------------------------------------------------------------------- 7</w:t>
      </w:r>
    </w:p>
    <w:p w:rsidR="00000000" w:rsidDel="00000000" w:rsidP="00000000" w:rsidRDefault="00000000" w:rsidRPr="00000000" w14:paraId="00000010">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Questions to consider ---------------------------------------------------------------- 9</w:t>
      </w:r>
    </w:p>
    <w:p w:rsidR="00000000" w:rsidDel="00000000" w:rsidP="00000000" w:rsidRDefault="00000000" w:rsidRPr="00000000" w14:paraId="00000011">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2: Media Censorship and Freedom of Expression–----------------------------- 10-13</w:t>
      </w:r>
    </w:p>
    <w:p w:rsidR="00000000" w:rsidDel="00000000" w:rsidP="00000000" w:rsidRDefault="00000000" w:rsidRPr="00000000" w14:paraId="00000012">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Background to the issue—------------------------------------------------------------10</w:t>
      </w:r>
    </w:p>
    <w:p w:rsidR="00000000" w:rsidDel="00000000" w:rsidP="00000000" w:rsidRDefault="00000000" w:rsidRPr="00000000" w14:paraId="00000013">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Relevant UN Action -------------------------------------------------------------------</w:t>
      </w: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014">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Questions to consider ---------------------------------------------------------------- 13</w:t>
      </w:r>
    </w:p>
    <w:p w:rsidR="00000000" w:rsidDel="00000000" w:rsidP="00000000" w:rsidRDefault="00000000" w:rsidRPr="00000000" w14:paraId="00000015">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Expectations and Tips for Committee ----------------------------------------------------- 14</w:t>
      </w:r>
    </w:p>
    <w:p w:rsidR="00000000" w:rsidDel="00000000" w:rsidP="00000000" w:rsidRDefault="00000000" w:rsidRPr="00000000" w14:paraId="00000016">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 ---------------------------------------------------------------------------------- 15-17</w:t>
      </w:r>
    </w:p>
    <w:p w:rsidR="00000000" w:rsidDel="00000000" w:rsidP="00000000" w:rsidRDefault="00000000" w:rsidRPr="00000000" w14:paraId="00000017">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King’sMUN 2026 delegates,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 Hanoudi and Ishan Ramchandani</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Co-Secretary Generals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King’sMUN 2026</w:t>
      </w:r>
    </w:p>
    <w:p w:rsidR="00000000" w:rsidDel="00000000" w:rsidP="00000000" w:rsidRDefault="00000000" w:rsidRPr="00000000" w14:paraId="0000002D">
      <w:pPr>
        <w:spacing w:after="240" w:before="24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after="240" w:before="24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to Committee</w:t>
      </w:r>
    </w:p>
    <w:p w:rsidR="00000000" w:rsidDel="00000000" w:rsidP="00000000" w:rsidRDefault="00000000" w:rsidRPr="00000000" w14:paraId="0000003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Assembly (GA) of the United Nations refers to both the central body of the UN and the network of committees responsible for shaping international dialogue and policy. When referred to as the overarching structure, it broaches into the Six Main Committees: the First Committee, Disarmament and International Security (DISEC), which addresses global security challenges and conflict prevention; the Second Committee, Economic and Financial (ECOFIN), which focuses on worldwide economic growth, sustainability, and the support of developing nations; the Third Committee, Social, Humanitarian, and Cultural (SOCHUM), which handles human rights, humanitarian crises, education, and cultural protections; the Fourth Committee, Special Political and Decolonization (SPECPOL), responsible for peacekeeping matters, political issues not covered elsewhere, and ongoing decolonization concerns; the Fifth Committee, which manages administrative and budgetary responsibilities within the UN system, ensuring resource management, and operational efficiency; and the Sixth Committee, the primary forum for international legal discourse and the establishment of global norms under international law. These committees serve as specialized branches of the GA, enabling states to debate, negotiate, and draft resolutions tailored to each issue area before forwarding them to the plenary for review and adoption.</w:t>
      </w:r>
    </w:p>
    <w:p w:rsidR="00000000" w:rsidDel="00000000" w:rsidP="00000000" w:rsidRDefault="00000000" w:rsidRPr="00000000" w14:paraId="00000031">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Beyond this committee structure, the General Assembly can also refer to the plenary body itself. In this core hall, all 193 Member States each receive an equal vote and collectively decide on resolutions, budgets, leadership appointments, and global priorities. This Model United Nations committee will be acting upon this definition of the GA. Although GA resolutions are not legally binding, they hold immense diplomatic and moral authority, representing international consensus and frequently influencing or lawfully inspiring binding treaties, sanctions, and national policies. This makes the GA the heart of the United Nations, playing an essential role as the primary forum for global diplomacy and cooperative problem-solving. </w:t>
      </w:r>
    </w:p>
    <w:p w:rsidR="00000000" w:rsidDel="00000000" w:rsidP="00000000" w:rsidRDefault="00000000" w:rsidRPr="00000000" w14:paraId="00000032">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 1: Addressing the Global Mental Health Crisis</w:t>
      </w:r>
    </w:p>
    <w:p w:rsidR="00000000" w:rsidDel="00000000" w:rsidP="00000000" w:rsidRDefault="00000000" w:rsidRPr="00000000" w14:paraId="00000035">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Background to the Issue</w:t>
      </w:r>
    </w:p>
    <w:p w:rsidR="00000000" w:rsidDel="00000000" w:rsidP="00000000" w:rsidRDefault="00000000" w:rsidRPr="00000000" w14:paraId="0000003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in the past couple of years, awareness and treatment for mental health issues have increased, the problems and those affected by them are still widespread. More than 1 billion people around the world struggle with mental health issues, while 1 out of 2 people face some sort of mental illness at least once in their lives. These numbers, no matter how obscene they sound, are only the ones that have been accounted for, while many live and suffer in silence. The Global Mental Health Crisis refers to the overwhelming scale of untreated psychological conditions worldwide, and the tragically unequal access to care faced by populations across different countries, age groups, and socioeconomic standings. It is usually associated with anxiety and depression, since they are the most common and apparent diagnoses, especially in youth; however, it includes so many more. Specifically in the past couple of years, PTSD, burnout, substance abuse, ADHD, etc., have come up significantly on top of the obvious anxiety and depression issues. </w:t>
      </w:r>
    </w:p>
    <w:p w:rsidR="00000000" w:rsidDel="00000000" w:rsidP="00000000" w:rsidRDefault="00000000" w:rsidRPr="00000000" w14:paraId="0000003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crisis is not just a medical issue, but is also a social, economic, and humanitarian emergency. Economically, mental health disorders are estimated to cost the world $16 trillion by 2030; however, due to stigmatization, nations only allocate 2% of their healthcare funds on average towards mental health issues, when they affect a huge number of their population. In many countries, mental health is still deeply condemned, leading people to feel judged, isolated, or even punished for coming forward and asking for help. As a result, conditions like anxiety, depression, PTSD, bipolar disorder, and others are left unaddressed. This leads to severe consequences on both personal and societal levels: decreased workforce productivity, increased poverty cycles, generational trauma, higher suicide rates, and strained healthcare systems. In low-income countries, especially, the situation is even more alarming. There are places where the average ratio is one psychiatrist per hundreds of thousands of people, and sometimes there is no trained specialist at all.</w:t>
      </w:r>
    </w:p>
    <w:p w:rsidR="00000000" w:rsidDel="00000000" w:rsidP="00000000" w:rsidRDefault="00000000" w:rsidRPr="00000000" w14:paraId="0000003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Societal misconceptions continue to label mental illness as a sign of weakness, and treatment is often seen as unnecessary or “overreacting.” This prevents millions from getting the support they desperately need. On top of that, geopolitical issues such as conflict, displacement, natural disasters, and economic instability leave vulnerable populations with nowhere to turn, exacerbating already fragile situations.</w:t>
      </w:r>
    </w:p>
    <w:p w:rsidR="00000000" w:rsidDel="00000000" w:rsidP="00000000" w:rsidRDefault="00000000" w:rsidRPr="00000000" w14:paraId="00000039">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Relevant UN Action</w:t>
      </w:r>
    </w:p>
    <w:p w:rsidR="00000000" w:rsidDel="00000000" w:rsidP="00000000" w:rsidRDefault="00000000" w:rsidRPr="00000000" w14:paraId="0000003A">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 has slowly moved up the UN agenda in the past decade. The United Nations first strongly recognized mental well-being as a global development priority in the 2030 Agenda for Sustainable Development, especially under Goal 3: Good Health and Well-Being, which commits nations to promoting mental health and preventing suicide. The World Health Organization (WHO) has been leading international coordination through strategies such as the Comprehensive Mental Health Action Plan (2013–2030), aiming to expand access to services, improve mental health promotion, and reduce stigma globally.</w:t>
      </w:r>
    </w:p>
    <w:p w:rsidR="00000000" w:rsidDel="00000000" w:rsidP="00000000" w:rsidRDefault="00000000" w:rsidRPr="00000000" w14:paraId="0000003B">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 has also integrated psychological support into humanitarian responses through initiatives like UNHCR’s mental health and psychosocial support (MHPSS) programs for refugees and displaced communities. Specialized agencies such as UNICEF, UN Women, and UNDP work to protect vulnerable groups, children, survivors of gender-based violence, and populations affected by conflict, by pushing for trauma-informed care and community-based support systems.</w:t>
      </w:r>
    </w:p>
    <w:p w:rsidR="00000000" w:rsidDel="00000000" w:rsidP="00000000" w:rsidRDefault="00000000" w:rsidRPr="00000000" w14:paraId="0000003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progress has been made, the UN stresses that current action is still nowhere near enough. Greater investment, cross-regional cooperation, and policy reform are urgently required to ensure that mental health is treated with the same legitimacy as physical health. The international community must continue working to make mental well-being a universal right rather than a privilege reserved for a few.</w:t>
        <w:tab/>
      </w:r>
    </w:p>
    <w:p w:rsidR="00000000" w:rsidDel="00000000" w:rsidP="00000000" w:rsidRDefault="00000000" w:rsidRPr="00000000" w14:paraId="0000003D">
      <w:pPr>
        <w:spacing w:after="240" w:before="240" w:line="48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Other than integrating it into the Sustainable Development Goals, the United Nations has implemented the Greentree Acceleration Plan, a bold new initiative aimed at scaling up mental health and psychosocial support in humanitarian settings worldwide. This very recent plan, which was launched in 2025, will begin implementation in countries facing acute crises such as Chad and Lebanon and focuses on developing, evaluating, and delivering evidence-based psychological interventions that are integrated into broader humanitarian services like education, health, and protection. It also emphasizes strengthening national systems through policy reform, workforce training, and locally driven approaches, ensuring that care is culturally relevant and sustainable rather than imposed from the outside. The Greentree Acceleration Plan acknowledges that mental health care must be treated as essential in emergency response, not optional, and it seeks to build resilience not only for affected populations but also for the humanitarian workers who support them.</w:t>
      </w:r>
      <w:r w:rsidDel="00000000" w:rsidR="00000000" w:rsidRPr="00000000">
        <w:rPr>
          <w:rtl w:val="0"/>
        </w:rPr>
      </w:r>
    </w:p>
    <w:p w:rsidR="00000000" w:rsidDel="00000000" w:rsidP="00000000" w:rsidRDefault="00000000" w:rsidRPr="00000000" w14:paraId="0000003E">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Questions to Consider</w:t>
      </w:r>
    </w:p>
    <w:p w:rsidR="00000000" w:rsidDel="00000000" w:rsidP="00000000" w:rsidRDefault="00000000" w:rsidRPr="00000000" w14:paraId="0000003F">
      <w:pPr>
        <w:numPr>
          <w:ilvl w:val="0"/>
          <w:numId w:val="1"/>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funding be allocated and sustained for mental health programs, both short-term and long-term?</w:t>
      </w:r>
    </w:p>
    <w:p w:rsidR="00000000" w:rsidDel="00000000" w:rsidP="00000000" w:rsidRDefault="00000000" w:rsidRPr="00000000" w14:paraId="00000040">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mental health initiatives realistically reach regions facing extreme poverty?</w:t>
      </w:r>
    </w:p>
    <w:p w:rsidR="00000000" w:rsidDel="00000000" w:rsidP="00000000" w:rsidRDefault="00000000" w:rsidRPr="00000000" w14:paraId="00000041">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mental health support be integrated into existing humanitarian aid systems (refugee camps, disaster relief, post-conflict zones, etc.)?</w:t>
      </w:r>
    </w:p>
    <w:p w:rsidR="00000000" w:rsidDel="00000000" w:rsidP="00000000" w:rsidRDefault="00000000" w:rsidRPr="00000000" w14:paraId="00000042">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safeguards are needed to ensure that mental health care is ethical, culturally sensitive, and not used for political or social control?</w:t>
      </w:r>
    </w:p>
    <w:p w:rsidR="00000000" w:rsidDel="00000000" w:rsidP="00000000" w:rsidRDefault="00000000" w:rsidRPr="00000000" w14:paraId="00000043">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technology be used to expand access without replacing human specialists?</w:t>
      </w:r>
    </w:p>
    <w:p w:rsidR="00000000" w:rsidDel="00000000" w:rsidP="00000000" w:rsidRDefault="00000000" w:rsidRPr="00000000" w14:paraId="00000044">
      <w:pPr>
        <w:numPr>
          <w:ilvl w:val="0"/>
          <w:numId w:val="1"/>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these programs and solutions stay adaptable and sustainable in the ever-changing world?</w:t>
      </w:r>
    </w:p>
    <w:p w:rsidR="00000000" w:rsidDel="00000000" w:rsidP="00000000" w:rsidRDefault="00000000" w:rsidRPr="00000000" w14:paraId="00000045">
      <w:pPr>
        <w:spacing w:after="240" w:before="240" w:line="48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before="240" w:line="48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40" w:before="240" w:line="48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40" w:before="240" w:line="48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40" w:before="240" w:line="48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40" w:before="240" w:line="48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40" w:before="240" w:line="48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F">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 2: Media Censorship and Freedom of Expression</w:t>
      </w:r>
    </w:p>
    <w:p w:rsidR="00000000" w:rsidDel="00000000" w:rsidP="00000000" w:rsidRDefault="00000000" w:rsidRPr="00000000" w14:paraId="00000050">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Background to the Issue</w:t>
      </w:r>
    </w:p>
    <w:p w:rsidR="00000000" w:rsidDel="00000000" w:rsidP="00000000" w:rsidRDefault="00000000" w:rsidRPr="00000000" w14:paraId="00000051">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censorship and freedom of expression are among the most relevant debates in global politics today, concerning human rights, state sovereignty, and worldwide security. Freedom of expression is defined as the right individuals and media organizations possess to seek, receive, and share information and ideas without interference and censorship. Though recognized as fundamental human rights in many parts of the world, the right to information and freedom of expression are still harshly denied in many others. Freedom of expression in the media allows journalists, activists, and other individuals to keep citizens informed about government actions and policies, expose corruption and abuses of power, provide access to diverse perspectives, and fight propaganda and misinformation. However, this is only possible through a free and independent media, which has become increasingly difficult to obtain with government censorship on the rise.</w:t>
      </w:r>
    </w:p>
    <w:p w:rsidR="00000000" w:rsidDel="00000000" w:rsidP="00000000" w:rsidRDefault="00000000" w:rsidRPr="00000000" w14:paraId="00000052">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Some states argue that unrestricted freedom to share opinions both online and in traditional media can be harmful, and that regulations are necessary to protect national security and societal values, especially with online hate speech and false information becoming more prevalent. On the contrary, many counter this opinion, arguing that censorship of the media is more often used as a tool by authoritarian regimes to silence the truth, and ensure that the media is strictly in favour of the government.</w:t>
      </w:r>
    </w:p>
    <w:p w:rsidR="00000000" w:rsidDel="00000000" w:rsidP="00000000" w:rsidRDefault="00000000" w:rsidRPr="00000000" w14:paraId="00000053">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 xml:space="preserve">Governments may censor media through laws, </w:t>
      </w:r>
      <w:r w:rsidDel="00000000" w:rsidR="00000000" w:rsidRPr="00000000">
        <w:rPr>
          <w:rFonts w:ascii="Times New Roman" w:cs="Times New Roman" w:eastAsia="Times New Roman" w:hAnsi="Times New Roman"/>
          <w:sz w:val="24"/>
          <w:szCs w:val="24"/>
          <w:rtl w:val="0"/>
        </w:rPr>
        <w:t xml:space="preserve">surveillance</w:t>
      </w:r>
      <w:r w:rsidDel="00000000" w:rsidR="00000000" w:rsidRPr="00000000">
        <w:rPr>
          <w:rFonts w:ascii="Times New Roman" w:cs="Times New Roman" w:eastAsia="Times New Roman" w:hAnsi="Times New Roman"/>
          <w:sz w:val="24"/>
          <w:szCs w:val="24"/>
          <w:rtl w:val="0"/>
        </w:rPr>
        <w:t xml:space="preserve">, internet shutdowns, licensing requirements, or direct intimidation. There is especially growing concern in countries such as Eritrea, North Korea, and China, which score in the bottom three on the RSF Press Freedom Index of 2025 and have consistently ranked dangerously low over the past decade and beyond. All news articles, social media posts, books, music and communication that contradict government propaganda in these countries are censored, and in the case of states such as North Korea, Eritrea, Turkmenistan, Saudi Arabia, Iran, and countless others, independent media is banned altogether and instead just a mouthpiece of the government. Those who share and consume such media in these places are often persecuted in the form of imprisonment, torture, and often even death. However, the crisis of deteriorating freedoms of expression and media is not limited to these countries. All around the world, notably in eastern and southern regions, over 5.6 billion people, 67.7% of Earth’s population, have experienced a decline in their freedom of expression according to the Global Expression Report of 2024 by Article 19. This is the result of censorship enforced by authoritarian regimes that control the media and silence opposing opinions, directly violating their citizens’ rights to information and independent expression. </w:t>
      </w:r>
      <w:r w:rsidDel="00000000" w:rsidR="00000000" w:rsidRPr="00000000">
        <w:rPr>
          <w:rtl w:val="0"/>
        </w:rPr>
      </w:r>
    </w:p>
    <w:p w:rsidR="00000000" w:rsidDel="00000000" w:rsidP="00000000" w:rsidRDefault="00000000" w:rsidRPr="00000000" w14:paraId="0000005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Relevant UN Action</w:t>
      </w:r>
      <w:r w:rsidDel="00000000" w:rsidR="00000000" w:rsidRPr="00000000">
        <w:rPr>
          <w:rtl w:val="0"/>
        </w:rPr>
      </w:r>
    </w:p>
    <w:p w:rsidR="00000000" w:rsidDel="00000000" w:rsidP="00000000" w:rsidRDefault="00000000" w:rsidRPr="00000000" w14:paraId="00000055">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of expression is not merely a democratic concept, but a universal value recognized by the UN and international law, as the United Nations has played a central role in establishing global norms for freedom of expression. In 1948, the Universal Declaration of Human Rights (UDHR) was created following the Second World War, as a moral standard to prevent the brutality of WW2 from occurring again. In Article 19 of the UDHR, freedom of expression is identified as a universal right, stating that everyone has the right to freedom of opinion and expression, including freedom to hold opinions without interference and to seek, receive and impart information and ideas through any media and regardless of frontiers. </w:t>
      </w:r>
    </w:p>
    <w:p w:rsidR="00000000" w:rsidDel="00000000" w:rsidP="00000000" w:rsidRDefault="00000000" w:rsidRPr="00000000" w14:paraId="0000005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International Covenant on Civil and Political Rights (ICCPR) was adopted in 1966 as a legally binding treaty that put Article 19 into law. However, it is also stated that these rights also carry duties and responsibilities that may be subject to certain restrictions, which authoritarian states often use to justify censorship. To combat this, the Rabat Plan of Action, a six-part test for states, was created to provide guidance on distinguishing free speech from illegal hate speech and prevent wrongful censorship, balancing all areas of Article 19.</w:t>
      </w:r>
    </w:p>
    <w:p w:rsidR="00000000" w:rsidDel="00000000" w:rsidP="00000000" w:rsidRDefault="00000000" w:rsidRPr="00000000" w14:paraId="0000005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 with combatting censorship and promoting freedom of expression through UN documents, the United Nations has passed resolutions such as the 2020 Human Rights Council resolution that reaffirm freedom of expression as a fundamental right, online and offline, and the 2025 Human Rights Council Resolution on Human Rights Defenders and New Technologies, that calls on governments to end mass surveillance, internet shutdowns, and avoid spyware. Further, the UN has also implemented plans for journalist safety, such as the UN Plan of Action on the Safety of Journalists, which provides a framework to create a safe environment for media workers globally. </w:t>
      </w:r>
    </w:p>
    <w:p w:rsidR="00000000" w:rsidDel="00000000" w:rsidP="00000000" w:rsidRDefault="00000000" w:rsidRPr="00000000" w14:paraId="00000058">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Questions to Consider</w:t>
      </w:r>
    </w:p>
    <w:p w:rsidR="00000000" w:rsidDel="00000000" w:rsidP="00000000" w:rsidRDefault="00000000" w:rsidRPr="00000000" w14:paraId="00000059">
      <w:pPr>
        <w:numPr>
          <w:ilvl w:val="0"/>
          <w:numId w:val="2"/>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if any,  should governments be allowed to regulate media and online platforms?</w:t>
      </w:r>
    </w:p>
    <w:p w:rsidR="00000000" w:rsidDel="00000000" w:rsidP="00000000" w:rsidRDefault="00000000" w:rsidRPr="00000000" w14:paraId="0000005A">
      <w:pPr>
        <w:numPr>
          <w:ilvl w:val="0"/>
          <w:numId w:val="2"/>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freedom of expression be protected while allowing governments to address actual security and human rights concerns?</w:t>
      </w:r>
    </w:p>
    <w:p w:rsidR="00000000" w:rsidDel="00000000" w:rsidP="00000000" w:rsidRDefault="00000000" w:rsidRPr="00000000" w14:paraId="0000005B">
      <w:pPr>
        <w:numPr>
          <w:ilvl w:val="0"/>
          <w:numId w:val="2"/>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measures can be taken to fight misinformation while also ensuring freedom of expression?</w:t>
      </w:r>
    </w:p>
    <w:p w:rsidR="00000000" w:rsidDel="00000000" w:rsidP="00000000" w:rsidRDefault="00000000" w:rsidRPr="00000000" w14:paraId="0000005C">
      <w:pPr>
        <w:numPr>
          <w:ilvl w:val="0"/>
          <w:numId w:val="2"/>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responsibility do technology and social media companies have when limiting or enabling censorship?</w:t>
      </w:r>
    </w:p>
    <w:p w:rsidR="00000000" w:rsidDel="00000000" w:rsidP="00000000" w:rsidRDefault="00000000" w:rsidRPr="00000000" w14:paraId="0000005D">
      <w:pPr>
        <w:numPr>
          <w:ilvl w:val="0"/>
          <w:numId w:val="2"/>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freedom of expression be promoted in conflict zones and repressive regions?</w:t>
      </w:r>
    </w:p>
    <w:p w:rsidR="00000000" w:rsidDel="00000000" w:rsidP="00000000" w:rsidRDefault="00000000" w:rsidRPr="00000000" w14:paraId="0000005E">
      <w:pPr>
        <w:numPr>
          <w:ilvl w:val="0"/>
          <w:numId w:val="2"/>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the General Assembly realistically play in enforcing norms without violating sovereignty?</w:t>
      </w:r>
    </w:p>
    <w:p w:rsidR="00000000" w:rsidDel="00000000" w:rsidP="00000000" w:rsidRDefault="00000000" w:rsidRPr="00000000" w14:paraId="0000005F">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Expectations and Tips for the Committee</w:t>
      </w:r>
    </w:p>
    <w:p w:rsidR="00000000" w:rsidDel="00000000" w:rsidP="00000000" w:rsidRDefault="00000000" w:rsidRPr="00000000" w14:paraId="0000006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committee is a qualifying Tournament of Champions committee. To learn more about what that entails, please visit the </w:t>
      </w:r>
      <w:hyperlink r:id="rId10">
        <w:r w:rsidDel="00000000" w:rsidR="00000000" w:rsidRPr="00000000">
          <w:rPr>
            <w:rFonts w:ascii="Times New Roman" w:cs="Times New Roman" w:eastAsia="Times New Roman" w:hAnsi="Times New Roman"/>
            <w:color w:val="0000ee"/>
            <w:sz w:val="24"/>
            <w:szCs w:val="24"/>
            <w:u w:val="single"/>
            <w:rtl w:val="0"/>
          </w:rPr>
          <w:t xml:space="preserve">King’sMUN 2026 Delegate Rubric</w:t>
        </w:r>
      </w:hyperlink>
      <w:r w:rsidDel="00000000" w:rsidR="00000000" w:rsidRPr="00000000">
        <w:rPr>
          <w:rFonts w:ascii="Times New Roman" w:cs="Times New Roman" w:eastAsia="Times New Roman" w:hAnsi="Times New Roman"/>
          <w:sz w:val="24"/>
          <w:szCs w:val="24"/>
          <w:rtl w:val="0"/>
        </w:rPr>
        <w:t xml:space="preserve"> to access our TOC qualifying rubric. Essentially, the delegate must stay true to their country's policy and offer realistic solutions to qualify for an award. If you are given an award at King’sMUN 2026, you qualify for HMUN’s Tournament of Champions</w:t>
      </w:r>
    </w:p>
    <w:p w:rsidR="00000000" w:rsidDel="00000000" w:rsidP="00000000" w:rsidRDefault="00000000" w:rsidRPr="00000000" w14:paraId="00000061">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Tips to do well in this committee are…</w:t>
      </w:r>
    </w:p>
    <w:p w:rsidR="00000000" w:rsidDel="00000000" w:rsidP="00000000" w:rsidRDefault="00000000" w:rsidRPr="00000000" w14:paraId="00000062">
      <w:pPr>
        <w:numPr>
          <w:ilvl w:val="0"/>
          <w:numId w:val="4"/>
        </w:numPr>
        <w:spacing w:after="0" w:afterAutospacing="0" w:before="24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Stay Consistent in Country Policy</w:t>
      </w:r>
    </w:p>
    <w:p w:rsidR="00000000" w:rsidDel="00000000" w:rsidP="00000000" w:rsidRDefault="00000000" w:rsidRPr="00000000" w14:paraId="00000063">
      <w:pPr>
        <w:numPr>
          <w:ilvl w:val="0"/>
          <w:numId w:val="4"/>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BACKGROUND GUIDE PROVIDED</w:t>
      </w:r>
    </w:p>
    <w:p w:rsidR="00000000" w:rsidDel="00000000" w:rsidP="00000000" w:rsidRDefault="00000000" w:rsidRPr="00000000" w14:paraId="00000064">
      <w:pPr>
        <w:numPr>
          <w:ilvl w:val="0"/>
          <w:numId w:val="4"/>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Gather Relevant Statistics and Use Them in Speeches.</w:t>
      </w:r>
    </w:p>
    <w:p w:rsidR="00000000" w:rsidDel="00000000" w:rsidP="00000000" w:rsidRDefault="00000000" w:rsidRPr="00000000" w14:paraId="00000065">
      <w:pPr>
        <w:numPr>
          <w:ilvl w:val="0"/>
          <w:numId w:val="4"/>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Speak Early and Speak Often</w:t>
      </w:r>
    </w:p>
    <w:p w:rsidR="00000000" w:rsidDel="00000000" w:rsidP="00000000" w:rsidRDefault="00000000" w:rsidRPr="00000000" w14:paraId="00000066">
      <w:pPr>
        <w:numPr>
          <w:ilvl w:val="0"/>
          <w:numId w:val="4"/>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 Strong, Structured Resolutions</w:t>
      </w:r>
    </w:p>
    <w:p w:rsidR="00000000" w:rsidDel="00000000" w:rsidP="00000000" w:rsidRDefault="00000000" w:rsidRPr="00000000" w14:paraId="00000067">
      <w:pPr>
        <w:numPr>
          <w:ilvl w:val="0"/>
          <w:numId w:val="4"/>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Strategic Questions</w:t>
      </w:r>
    </w:p>
    <w:p w:rsidR="00000000" w:rsidDel="00000000" w:rsidP="00000000" w:rsidRDefault="00000000" w:rsidRPr="00000000" w14:paraId="00000068">
      <w:pPr>
        <w:numPr>
          <w:ilvl w:val="0"/>
          <w:numId w:val="4"/>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 to the Direction of Debate</w:t>
      </w:r>
    </w:p>
    <w:p w:rsidR="00000000" w:rsidDel="00000000" w:rsidP="00000000" w:rsidRDefault="00000000" w:rsidRPr="00000000" w14:paraId="00000069">
      <w:pPr>
        <w:numPr>
          <w:ilvl w:val="0"/>
          <w:numId w:val="4"/>
        </w:numPr>
        <w:spacing w:after="24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Professionalism and Diplomacy</w:t>
      </w:r>
    </w:p>
    <w:p w:rsidR="00000000" w:rsidDel="00000000" w:rsidP="00000000" w:rsidRDefault="00000000" w:rsidRPr="00000000" w14:paraId="0000006A">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Fundamentally, show the dias that the delegate understands their role, MUN procedure, and the topic at hand. </w:t>
      </w:r>
    </w:p>
    <w:p w:rsidR="00000000" w:rsidDel="00000000" w:rsidP="00000000" w:rsidRDefault="00000000" w:rsidRPr="00000000" w14:paraId="0000006B">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240" w:before="240" w:line="48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E">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Bibliography</w:t>
      </w:r>
    </w:p>
    <w:p w:rsidR="00000000" w:rsidDel="00000000" w:rsidP="00000000" w:rsidRDefault="00000000" w:rsidRPr="00000000" w14:paraId="0000006F">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Committees of the General Assembly of the United Nations.” the United Nations, https://www.un.org/en/ga/maincommittees/. Accessed 28 December 2025.</w:t>
      </w:r>
    </w:p>
    <w:p w:rsidR="00000000" w:rsidDel="00000000" w:rsidP="00000000" w:rsidRDefault="00000000" w:rsidRPr="00000000" w14:paraId="0000007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Kerstetter, B. (2022, December 12). Global Mental Health Statistics. Children’s HopeChest. https://www.hopechest.org/global-mental-health-statistics/?gad_source=1&amp;gad_campaignid=23289483041&amp;gbraid=0AAAAADjEdXVtCW7lqz9Vhf3wiai7LH4b9&amp;gclid=Cj0KCQiAx8PKBhD1ARIsAKsmGbeHS4i1vWl68_6TZCMh0hs1za8bK1xXy0kQI-PxlLD6KWwsl3q3vCsaAvi-EALw_wcB</w:t>
      </w:r>
    </w:p>
    <w:p w:rsidR="00000000" w:rsidDel="00000000" w:rsidP="00000000" w:rsidRDefault="00000000" w:rsidRPr="00000000" w14:paraId="00000071">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 World Health Organization (WHO), https://www.who.int/health-topics/mental-health#tab=tab_1. Accessed 28 December 2025.</w:t>
      </w:r>
    </w:p>
    <w:p w:rsidR="00000000" w:rsidDel="00000000" w:rsidP="00000000" w:rsidRDefault="00000000" w:rsidRPr="00000000" w14:paraId="00000072">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Landis, Meg. “The Global Mental Health Crisis: 10 Numbers to Note.” Project HOPE | Advancing Global Health &amp; Saving Lives, 6 Oct. 2025, www.projecthope.org/news-stories/story/the-global-mental-health-crisis-10-numbers-to-note.</w:t>
      </w:r>
    </w:p>
    <w:p w:rsidR="00000000" w:rsidDel="00000000" w:rsidP="00000000" w:rsidRDefault="00000000" w:rsidRPr="00000000" w14:paraId="0000007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MHPSS Network, https://www.mhpss.net/. Accessed 1 January 2026.</w:t>
      </w:r>
    </w:p>
    <w:p w:rsidR="00000000" w:rsidDel="00000000" w:rsidP="00000000" w:rsidRDefault="00000000" w:rsidRPr="00000000" w14:paraId="0000007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Amnesty International. “Freedom of Expression.” </w:t>
      </w:r>
      <w:r w:rsidDel="00000000" w:rsidR="00000000" w:rsidRPr="00000000">
        <w:rPr>
          <w:rFonts w:ascii="Times New Roman" w:cs="Times New Roman" w:eastAsia="Times New Roman" w:hAnsi="Times New Roman"/>
          <w:i w:val="1"/>
          <w:iCs w:val="1"/>
          <w:sz w:val="24"/>
          <w:szCs w:val="24"/>
          <w:rtl w:val="0"/>
        </w:rPr>
        <w:t xml:space="preserve">Amnesty.org</w:t>
      </w:r>
      <w:r w:rsidDel="00000000" w:rsidR="00000000" w:rsidRPr="00000000">
        <w:rPr>
          <w:rFonts w:ascii="Times New Roman" w:cs="Times New Roman" w:eastAsia="Times New Roman" w:hAnsi="Times New Roman"/>
          <w:sz w:val="24"/>
          <w:szCs w:val="24"/>
          <w:rtl w:val="0"/>
        </w:rPr>
        <w:t xml:space="preserve">, Amnesty International, 2024, www.amnesty.org/en/what-we-do/freedom-of-expression/.</w:t>
      </w:r>
    </w:p>
    <w:p w:rsidR="00000000" w:rsidDel="00000000" w:rsidP="00000000" w:rsidRDefault="00000000" w:rsidRPr="00000000" w14:paraId="0000007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19. “The Global Expression Report 2025.” </w:t>
      </w:r>
      <w:r w:rsidDel="00000000" w:rsidR="00000000" w:rsidRPr="00000000">
        <w:rPr>
          <w:rFonts w:ascii="Times New Roman" w:cs="Times New Roman" w:eastAsia="Times New Roman" w:hAnsi="Times New Roman"/>
          <w:i w:val="1"/>
          <w:iCs w:val="1"/>
          <w:sz w:val="24"/>
          <w:szCs w:val="24"/>
          <w:rtl w:val="0"/>
        </w:rPr>
        <w:t xml:space="preserve">Www.globalexpressionreport.org</w:t>
      </w:r>
      <w:r w:rsidDel="00000000" w:rsidR="00000000" w:rsidRPr="00000000">
        <w:rPr>
          <w:rFonts w:ascii="Times New Roman" w:cs="Times New Roman" w:eastAsia="Times New Roman" w:hAnsi="Times New Roman"/>
          <w:sz w:val="24"/>
          <w:szCs w:val="24"/>
          <w:rtl w:val="0"/>
        </w:rPr>
        <w:t xml:space="preserve">, 2024, www.globalexpressionreport.org/.</w:t>
      </w:r>
    </w:p>
    <w:p w:rsidR="00000000" w:rsidDel="00000000" w:rsidP="00000000" w:rsidRDefault="00000000" w:rsidRPr="00000000" w14:paraId="0000007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Freedom of Expression?” </w:t>
      </w:r>
      <w:r w:rsidDel="00000000" w:rsidR="00000000" w:rsidRPr="00000000">
        <w:rPr>
          <w:rFonts w:ascii="Times New Roman" w:cs="Times New Roman" w:eastAsia="Times New Roman" w:hAnsi="Times New Roman"/>
          <w:i w:val="1"/>
          <w:iCs w:val="1"/>
          <w:sz w:val="24"/>
          <w:szCs w:val="24"/>
          <w:rtl w:val="0"/>
        </w:rPr>
        <w:t xml:space="preserve">ARTICLE 19</w:t>
      </w:r>
      <w:r w:rsidDel="00000000" w:rsidR="00000000" w:rsidRPr="00000000">
        <w:rPr>
          <w:rFonts w:ascii="Times New Roman" w:cs="Times New Roman" w:eastAsia="Times New Roman" w:hAnsi="Times New Roman"/>
          <w:sz w:val="24"/>
          <w:szCs w:val="24"/>
          <w:rtl w:val="0"/>
        </w:rPr>
        <w:t xml:space="preserve">, www.article19.org/what-is-freedom-of-expression/.</w:t>
      </w:r>
    </w:p>
    <w:p w:rsidR="00000000" w:rsidDel="00000000" w:rsidP="00000000" w:rsidRDefault="00000000" w:rsidRPr="00000000" w14:paraId="0000007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on the Net 2025: An Uncertain Future for the Global Internet.” Freedom House, 2025, https://freedomhouse.org/sites/default/files/2025-11/Freedom_on_the_Net_2025_Digital.pdf.</w:t>
      </w:r>
    </w:p>
    <w:p w:rsidR="00000000" w:rsidDel="00000000" w:rsidP="00000000" w:rsidRDefault="00000000" w:rsidRPr="00000000" w14:paraId="0000007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Most Censored Countries.” </w:t>
      </w:r>
      <w:r w:rsidDel="00000000" w:rsidR="00000000" w:rsidRPr="00000000">
        <w:rPr>
          <w:rFonts w:ascii="Times New Roman" w:cs="Times New Roman" w:eastAsia="Times New Roman" w:hAnsi="Times New Roman"/>
          <w:i w:val="1"/>
          <w:iCs w:val="1"/>
          <w:sz w:val="24"/>
          <w:szCs w:val="24"/>
          <w:rtl w:val="0"/>
        </w:rPr>
        <w:t xml:space="preserve">Committee to Protect Journalists</w:t>
      </w:r>
      <w:r w:rsidDel="00000000" w:rsidR="00000000" w:rsidRPr="00000000">
        <w:rPr>
          <w:rFonts w:ascii="Times New Roman" w:cs="Times New Roman" w:eastAsia="Times New Roman" w:hAnsi="Times New Roman"/>
          <w:sz w:val="24"/>
          <w:szCs w:val="24"/>
          <w:rtl w:val="0"/>
        </w:rPr>
        <w:t xml:space="preserve">, 10 Sept. 2019, cpj.org/reports/2019/09/10-most-censored-eritrea-north-korea-turkmenistan-journalist/#8.</w:t>
      </w:r>
    </w:p>
    <w:p w:rsidR="00000000" w:rsidDel="00000000" w:rsidP="00000000" w:rsidRDefault="00000000" w:rsidRPr="00000000" w14:paraId="0000007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Grossman, Andrew, and Kristin Shapiro. “Shining a Light on Censorship: How Transparency Can Curtail Government Social Media Censorship and More.” </w:t>
      </w:r>
      <w:r w:rsidDel="00000000" w:rsidR="00000000" w:rsidRPr="00000000">
        <w:rPr>
          <w:rFonts w:ascii="Times New Roman" w:cs="Times New Roman" w:eastAsia="Times New Roman" w:hAnsi="Times New Roman"/>
          <w:i w:val="1"/>
          <w:iCs w:val="1"/>
          <w:sz w:val="24"/>
          <w:szCs w:val="24"/>
          <w:rtl w:val="0"/>
        </w:rPr>
        <w:t xml:space="preserve">Cato.org</w:t>
      </w:r>
      <w:r w:rsidDel="00000000" w:rsidR="00000000" w:rsidRPr="00000000">
        <w:rPr>
          <w:rFonts w:ascii="Times New Roman" w:cs="Times New Roman" w:eastAsia="Times New Roman" w:hAnsi="Times New Roman"/>
          <w:sz w:val="24"/>
          <w:szCs w:val="24"/>
          <w:rtl w:val="0"/>
        </w:rPr>
        <w:t xml:space="preserve">, 3 Oct. 2023, www.cato.org/briefing-paper/shining-light-censorship-how-transparency-can-curtail-government-social-media#censorship-proxy.</w:t>
      </w:r>
    </w:p>
    <w:p w:rsidR="00000000" w:rsidDel="00000000" w:rsidP="00000000" w:rsidRDefault="00000000" w:rsidRPr="00000000" w14:paraId="0000007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Reporters without Borders. “World Press Freedom Index.” </w:t>
      </w:r>
      <w:r w:rsidDel="00000000" w:rsidR="00000000" w:rsidRPr="00000000">
        <w:rPr>
          <w:rFonts w:ascii="Times New Roman" w:cs="Times New Roman" w:eastAsia="Times New Roman" w:hAnsi="Times New Roman"/>
          <w:i w:val="1"/>
          <w:iCs w:val="1"/>
          <w:sz w:val="24"/>
          <w:szCs w:val="24"/>
          <w:rtl w:val="0"/>
        </w:rPr>
        <w:t xml:space="preserve">Rsf.org</w:t>
      </w:r>
      <w:r w:rsidDel="00000000" w:rsidR="00000000" w:rsidRPr="00000000">
        <w:rPr>
          <w:rFonts w:ascii="Times New Roman" w:cs="Times New Roman" w:eastAsia="Times New Roman" w:hAnsi="Times New Roman"/>
          <w:sz w:val="24"/>
          <w:szCs w:val="24"/>
          <w:rtl w:val="0"/>
        </w:rPr>
        <w:t xml:space="preserve">, Reporters without Borders, 2025, rsf.org/en/index.</w:t>
      </w:r>
    </w:p>
    <w:p w:rsidR="00000000" w:rsidDel="00000000" w:rsidP="00000000" w:rsidRDefault="00000000" w:rsidRPr="00000000" w14:paraId="0000007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“History of the Declaration.” </w:t>
      </w:r>
      <w:r w:rsidDel="00000000" w:rsidR="00000000" w:rsidRPr="00000000">
        <w:rPr>
          <w:rFonts w:ascii="Times New Roman" w:cs="Times New Roman" w:eastAsia="Times New Roman" w:hAnsi="Times New Roman"/>
          <w:i w:val="1"/>
          <w:iCs w:val="1"/>
          <w:sz w:val="24"/>
          <w:szCs w:val="24"/>
          <w:rtl w:val="0"/>
        </w:rPr>
        <w:t xml:space="preserve">United Nations</w:t>
      </w:r>
      <w:r w:rsidDel="00000000" w:rsidR="00000000" w:rsidRPr="00000000">
        <w:rPr>
          <w:rFonts w:ascii="Times New Roman" w:cs="Times New Roman" w:eastAsia="Times New Roman" w:hAnsi="Times New Roman"/>
          <w:sz w:val="24"/>
          <w:szCs w:val="24"/>
          <w:rtl w:val="0"/>
        </w:rPr>
        <w:t xml:space="preserve">, United Nations, 2024, www.un.org/en/about-us/udhr/history-of-the-declaration.</w:t>
      </w:r>
    </w:p>
    <w:p w:rsidR="00000000" w:rsidDel="00000000" w:rsidP="00000000" w:rsidRDefault="00000000" w:rsidRPr="00000000" w14:paraId="0000007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“Universal Declaration of Human Rights.” </w:t>
      </w:r>
      <w:r w:rsidDel="00000000" w:rsidR="00000000" w:rsidRPr="00000000">
        <w:rPr>
          <w:rFonts w:ascii="Times New Roman" w:cs="Times New Roman" w:eastAsia="Times New Roman" w:hAnsi="Times New Roman"/>
          <w:i w:val="1"/>
          <w:iCs w:val="1"/>
          <w:sz w:val="24"/>
          <w:szCs w:val="24"/>
          <w:rtl w:val="0"/>
        </w:rPr>
        <w:t xml:space="preserve">United Nations</w:t>
      </w:r>
      <w:r w:rsidDel="00000000" w:rsidR="00000000" w:rsidRPr="00000000">
        <w:rPr>
          <w:rFonts w:ascii="Times New Roman" w:cs="Times New Roman" w:eastAsia="Times New Roman" w:hAnsi="Times New Roman"/>
          <w:sz w:val="24"/>
          <w:szCs w:val="24"/>
          <w:rtl w:val="0"/>
        </w:rPr>
        <w:t xml:space="preserve">, 10 Dec. 1948, www.un.org/en/about-us/universal-declaration-of-human-rights.</w:t>
      </w:r>
    </w:p>
    <w:p w:rsidR="00000000" w:rsidDel="00000000" w:rsidP="00000000" w:rsidRDefault="00000000" w:rsidRPr="00000000" w14:paraId="0000007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Rights Council. “Freedom of Opinion and Expression Resolution: Human Rights Council on 16 July 2020.” </w:t>
      </w:r>
      <w:r w:rsidDel="00000000" w:rsidR="00000000" w:rsidRPr="00000000">
        <w:rPr>
          <w:rFonts w:ascii="Times New Roman" w:cs="Times New Roman" w:eastAsia="Times New Roman" w:hAnsi="Times New Roman"/>
          <w:i w:val="1"/>
          <w:iCs w:val="1"/>
          <w:sz w:val="24"/>
          <w:szCs w:val="24"/>
          <w:rtl w:val="0"/>
        </w:rPr>
        <w:t xml:space="preserve">United Nations Digital Library System</w:t>
      </w:r>
      <w:r w:rsidDel="00000000" w:rsidR="00000000" w:rsidRPr="00000000">
        <w:rPr>
          <w:rFonts w:ascii="Times New Roman" w:cs="Times New Roman" w:eastAsia="Times New Roman" w:hAnsi="Times New Roman"/>
          <w:sz w:val="24"/>
          <w:szCs w:val="24"/>
          <w:rtl w:val="0"/>
        </w:rPr>
        <w:t xml:space="preserve">, UN, 24 July 2020, digitallibrary.un.org/record/3877197?ln=en&amp;v=pdf.</w:t>
      </w:r>
    </w:p>
    <w:p w:rsidR="00000000" w:rsidDel="00000000" w:rsidP="00000000" w:rsidRDefault="00000000" w:rsidRPr="00000000" w14:paraId="0000007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OHCHR. “OHCHR | OHCHR and Freedom of Expression vs Incitement to Hatred: The Rabat Plan of Action.” </w:t>
      </w:r>
      <w:r w:rsidDel="00000000" w:rsidR="00000000" w:rsidRPr="00000000">
        <w:rPr>
          <w:rFonts w:ascii="Times New Roman" w:cs="Times New Roman" w:eastAsia="Times New Roman" w:hAnsi="Times New Roman"/>
          <w:i w:val="1"/>
          <w:iCs w:val="1"/>
          <w:sz w:val="24"/>
          <w:szCs w:val="24"/>
          <w:rtl w:val="0"/>
        </w:rPr>
        <w:t xml:space="preserve">OHCHR</w:t>
      </w:r>
      <w:r w:rsidDel="00000000" w:rsidR="00000000" w:rsidRPr="00000000">
        <w:rPr>
          <w:rFonts w:ascii="Times New Roman" w:cs="Times New Roman" w:eastAsia="Times New Roman" w:hAnsi="Times New Roman"/>
          <w:sz w:val="24"/>
          <w:szCs w:val="24"/>
          <w:rtl w:val="0"/>
        </w:rPr>
        <w:t xml:space="preserve">, www.ohchr.org/en/freedom-of-expression.</w:t>
      </w:r>
    </w:p>
    <w:p w:rsidR="00000000" w:rsidDel="00000000" w:rsidP="00000000" w:rsidRDefault="00000000" w:rsidRPr="00000000" w14:paraId="0000007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“UN Plan of Action on the Safety of Journalists and the Issue of Impunity | UNESCO.” </w:t>
      </w:r>
      <w:r w:rsidDel="00000000" w:rsidR="00000000" w:rsidRPr="00000000">
        <w:rPr>
          <w:rFonts w:ascii="Times New Roman" w:cs="Times New Roman" w:eastAsia="Times New Roman" w:hAnsi="Times New Roman"/>
          <w:i w:val="1"/>
          <w:iCs w:val="1"/>
          <w:sz w:val="24"/>
          <w:szCs w:val="24"/>
          <w:rtl w:val="0"/>
        </w:rPr>
        <w:t xml:space="preserve">Www.unesco.org</w:t>
      </w:r>
      <w:r w:rsidDel="00000000" w:rsidR="00000000" w:rsidRPr="00000000">
        <w:rPr>
          <w:rFonts w:ascii="Times New Roman" w:cs="Times New Roman" w:eastAsia="Times New Roman" w:hAnsi="Times New Roman"/>
          <w:sz w:val="24"/>
          <w:szCs w:val="24"/>
          <w:rtl w:val="0"/>
        </w:rPr>
        <w:t xml:space="preserve">, www.unesco.org/en/safety-journalists/un-plan-action.</w:t>
      </w:r>
    </w:p>
    <w:p w:rsidR="00000000" w:rsidDel="00000000" w:rsidP="00000000" w:rsidRDefault="00000000" w:rsidRPr="00000000" w14:paraId="0000008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Covenant on Civil and Political Rights.” </w:t>
      </w:r>
      <w:r w:rsidDel="00000000" w:rsidR="00000000" w:rsidRPr="00000000">
        <w:rPr>
          <w:rFonts w:ascii="Times New Roman" w:cs="Times New Roman" w:eastAsia="Times New Roman" w:hAnsi="Times New Roman"/>
          <w:i w:val="1"/>
          <w:iCs w:val="1"/>
          <w:sz w:val="24"/>
          <w:szCs w:val="24"/>
          <w:rtl w:val="0"/>
        </w:rPr>
        <w:t xml:space="preserve">OHCHR</w:t>
      </w:r>
      <w:r w:rsidDel="00000000" w:rsidR="00000000" w:rsidRPr="00000000">
        <w:rPr>
          <w:rFonts w:ascii="Times New Roman" w:cs="Times New Roman" w:eastAsia="Times New Roman" w:hAnsi="Times New Roman"/>
          <w:sz w:val="24"/>
          <w:szCs w:val="24"/>
          <w:rtl w:val="0"/>
        </w:rPr>
        <w:t xml:space="preserve">, United Nations, 16 Dec. 1966, www.ohchr.org/en/instruments-mechanisms/instruments/international-covenant-civil-and-political-rights.</w:t>
      </w:r>
    </w:p>
    <w:p w:rsidR="00000000" w:rsidDel="00000000" w:rsidP="00000000" w:rsidRDefault="00000000" w:rsidRPr="00000000" w14:paraId="00000081">
      <w:pPr>
        <w:spacing w:line="480" w:lineRule="auto"/>
        <w:ind w:left="720"/>
        <w:rPr>
          <w:rFonts w:ascii="Times New Roman" w:cs="Times New Roman" w:eastAsia="Times New Roman" w:hAnsi="Times New Roman"/>
          <w:sz w:val="24"/>
          <w:szCs w:val="24"/>
        </w:rPr>
        <w:sectPr>
          <w:headerReference r:id="rId11" w:type="default"/>
          <w:footerReference r:id="rId12" w:type="default"/>
          <w:type w:val="nextPage"/>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“OHCHR | Freedom of Expression and Opinion.” </w:t>
      </w:r>
      <w:r w:rsidDel="00000000" w:rsidR="00000000" w:rsidRPr="00000000">
        <w:rPr>
          <w:rFonts w:ascii="Times New Roman" w:cs="Times New Roman" w:eastAsia="Times New Roman" w:hAnsi="Times New Roman"/>
          <w:i w:val="1"/>
          <w:iCs w:val="1"/>
          <w:sz w:val="24"/>
          <w:szCs w:val="24"/>
          <w:rtl w:val="0"/>
        </w:rPr>
        <w:t xml:space="preserve">OHCHR</w:t>
      </w:r>
      <w:r w:rsidDel="00000000" w:rsidR="00000000" w:rsidRPr="00000000">
        <w:rPr>
          <w:rFonts w:ascii="Times New Roman" w:cs="Times New Roman" w:eastAsia="Times New Roman" w:hAnsi="Times New Roman"/>
          <w:sz w:val="24"/>
          <w:szCs w:val="24"/>
          <w:rtl w:val="0"/>
        </w:rPr>
        <w:t xml:space="preserve">, www.ohchr.org/en/topic/freedom-expression-and-opinion.</w:t>
      </w:r>
    </w:p>
    <w:p w:rsidR="00000000" w:rsidDel="00000000" w:rsidP="00000000" w:rsidRDefault="00000000" w:rsidRPr="00000000" w14:paraId="00000082">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13" w:type="default"/>
          <w:footerReference r:id="rId14" w:type="default"/>
          <w:type w:val="nextPage"/>
          <w:pgSz w:h="15840" w:w="12240" w:orient="portrait"/>
          <w:pgMar w:bottom="1440" w:top="1440" w:left="1440" w:right="1440" w:header="720" w:footer="720"/>
          <w:pgNumType w:start="1"/>
        </w:sectPr>
      </w:pPr>
      <w:bookmarkStart w:colFirst="0" w:colLast="0" w:name="_8xzogpc24sc"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Character List</w:t>
      </w:r>
      <w:r w:rsidDel="00000000" w:rsidR="00000000" w:rsidRPr="00000000">
        <w:rPr>
          <w:rtl w:val="0"/>
        </w:rPr>
      </w:r>
    </w:p>
    <w:p w:rsidR="00000000" w:rsidDel="00000000" w:rsidP="00000000" w:rsidRDefault="00000000" w:rsidRPr="00000000" w14:paraId="00000083">
      <w:pPr>
        <w:rPr>
          <w:rFonts w:ascii="Cambria" w:cs="Cambria" w:eastAsia="Cambria" w:hAnsi="Cambria"/>
          <w:sz w:val="24"/>
          <w:szCs w:val="24"/>
        </w:rPr>
      </w:pPr>
      <w:r w:rsidDel="00000000" w:rsidR="00000000" w:rsidRPr="00000000">
        <w:rPr>
          <w:rFonts w:ascii="Cambria" w:cs="Cambria" w:eastAsia="Cambria" w:hAnsi="Cambria"/>
          <w:i w:val="1"/>
          <w:iCs w:val="1"/>
          <w:sz w:val="32"/>
          <w:szCs w:val="32"/>
          <w:rtl w:val="0"/>
        </w:rPr>
        <w:t xml:space="preserve">Character List:</w:t>
      </w:r>
      <w:r w:rsidDel="00000000" w:rsidR="00000000" w:rsidRPr="00000000">
        <w:rPr>
          <w:rtl w:val="0"/>
        </w:rPr>
      </w:r>
    </w:p>
    <w:p w:rsidR="00000000" w:rsidDel="00000000" w:rsidP="00000000" w:rsidRDefault="00000000" w:rsidRPr="00000000" w14:paraId="00000084">
      <w:pPr>
        <w:numPr>
          <w:ilvl w:val="0"/>
          <w:numId w:val="3"/>
        </w:numPr>
        <w:spacing w:after="0" w:afterAutospacing="0" w:befor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China</w:t>
      </w:r>
    </w:p>
    <w:p w:rsidR="00000000" w:rsidDel="00000000" w:rsidP="00000000" w:rsidRDefault="00000000" w:rsidRPr="00000000" w14:paraId="00000085">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Russia</w:t>
      </w:r>
    </w:p>
    <w:p w:rsidR="00000000" w:rsidDel="00000000" w:rsidP="00000000" w:rsidRDefault="00000000" w:rsidRPr="00000000" w14:paraId="00000086">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India</w:t>
      </w:r>
    </w:p>
    <w:p w:rsidR="00000000" w:rsidDel="00000000" w:rsidP="00000000" w:rsidRDefault="00000000" w:rsidRPr="00000000" w14:paraId="00000087">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United States</w:t>
      </w:r>
    </w:p>
    <w:p w:rsidR="00000000" w:rsidDel="00000000" w:rsidP="00000000" w:rsidRDefault="00000000" w:rsidRPr="00000000" w14:paraId="00000088">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United Arab Emirates</w:t>
      </w:r>
    </w:p>
    <w:p w:rsidR="00000000" w:rsidDel="00000000" w:rsidP="00000000" w:rsidRDefault="00000000" w:rsidRPr="00000000" w14:paraId="00000089">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Nigeria</w:t>
      </w:r>
    </w:p>
    <w:p w:rsidR="00000000" w:rsidDel="00000000" w:rsidP="00000000" w:rsidRDefault="00000000" w:rsidRPr="00000000" w14:paraId="0000008A">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Pakistan</w:t>
      </w:r>
    </w:p>
    <w:p w:rsidR="00000000" w:rsidDel="00000000" w:rsidP="00000000" w:rsidRDefault="00000000" w:rsidRPr="00000000" w14:paraId="0000008B">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Bangladesh</w:t>
      </w:r>
    </w:p>
    <w:p w:rsidR="00000000" w:rsidDel="00000000" w:rsidP="00000000" w:rsidRDefault="00000000" w:rsidRPr="00000000" w14:paraId="0000008C">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Afghanistan</w:t>
      </w:r>
    </w:p>
    <w:p w:rsidR="00000000" w:rsidDel="00000000" w:rsidP="00000000" w:rsidRDefault="00000000" w:rsidRPr="00000000" w14:paraId="0000008D">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Mexico</w:t>
      </w:r>
    </w:p>
    <w:p w:rsidR="00000000" w:rsidDel="00000000" w:rsidP="00000000" w:rsidRDefault="00000000" w:rsidRPr="00000000" w14:paraId="0000008E">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Indonesia</w:t>
      </w:r>
    </w:p>
    <w:p w:rsidR="00000000" w:rsidDel="00000000" w:rsidP="00000000" w:rsidRDefault="00000000" w:rsidRPr="00000000" w14:paraId="0000008F">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Philippines</w:t>
      </w:r>
    </w:p>
    <w:p w:rsidR="00000000" w:rsidDel="00000000" w:rsidP="00000000" w:rsidRDefault="00000000" w:rsidRPr="00000000" w14:paraId="00000090">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Turkey</w:t>
      </w:r>
    </w:p>
    <w:p w:rsidR="00000000" w:rsidDel="00000000" w:rsidP="00000000" w:rsidRDefault="00000000" w:rsidRPr="00000000" w14:paraId="00000091">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Egypt</w:t>
      </w:r>
    </w:p>
    <w:p w:rsidR="00000000" w:rsidDel="00000000" w:rsidP="00000000" w:rsidRDefault="00000000" w:rsidRPr="00000000" w14:paraId="00000092">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Vietnam</w:t>
      </w:r>
    </w:p>
    <w:p w:rsidR="00000000" w:rsidDel="00000000" w:rsidP="00000000" w:rsidRDefault="00000000" w:rsidRPr="00000000" w14:paraId="00000093">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Canada</w:t>
      </w:r>
    </w:p>
    <w:p w:rsidR="00000000" w:rsidDel="00000000" w:rsidP="00000000" w:rsidRDefault="00000000" w:rsidRPr="00000000" w14:paraId="00000094">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South Africa</w:t>
      </w:r>
    </w:p>
    <w:p w:rsidR="00000000" w:rsidDel="00000000" w:rsidP="00000000" w:rsidRDefault="00000000" w:rsidRPr="00000000" w14:paraId="00000095">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Saudi Arabia</w:t>
      </w:r>
    </w:p>
    <w:p w:rsidR="00000000" w:rsidDel="00000000" w:rsidP="00000000" w:rsidRDefault="00000000" w:rsidRPr="00000000" w14:paraId="00000096">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South Korea</w:t>
      </w:r>
    </w:p>
    <w:p w:rsidR="00000000" w:rsidDel="00000000" w:rsidP="00000000" w:rsidRDefault="00000000" w:rsidRPr="00000000" w14:paraId="00000097">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United Kingdom</w:t>
      </w:r>
    </w:p>
    <w:p w:rsidR="00000000" w:rsidDel="00000000" w:rsidP="00000000" w:rsidRDefault="00000000" w:rsidRPr="00000000" w14:paraId="00000098">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Ukraine</w:t>
      </w:r>
    </w:p>
    <w:p w:rsidR="00000000" w:rsidDel="00000000" w:rsidP="00000000" w:rsidRDefault="00000000" w:rsidRPr="00000000" w14:paraId="00000099">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Colombia</w:t>
      </w:r>
    </w:p>
    <w:p w:rsidR="00000000" w:rsidDel="00000000" w:rsidP="00000000" w:rsidRDefault="00000000" w:rsidRPr="00000000" w14:paraId="0000009A">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Argentina</w:t>
      </w:r>
    </w:p>
    <w:p w:rsidR="00000000" w:rsidDel="00000000" w:rsidP="00000000" w:rsidRDefault="00000000" w:rsidRPr="00000000" w14:paraId="0000009B">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Israel</w:t>
      </w:r>
    </w:p>
    <w:p w:rsidR="00000000" w:rsidDel="00000000" w:rsidP="00000000" w:rsidRDefault="00000000" w:rsidRPr="00000000" w14:paraId="0000009C">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Eritrea</w:t>
      </w:r>
    </w:p>
    <w:p w:rsidR="00000000" w:rsidDel="00000000" w:rsidP="00000000" w:rsidRDefault="00000000" w:rsidRPr="00000000" w14:paraId="0000009D">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Malaysia</w:t>
      </w:r>
    </w:p>
    <w:p w:rsidR="00000000" w:rsidDel="00000000" w:rsidP="00000000" w:rsidRDefault="00000000" w:rsidRPr="00000000" w14:paraId="0000009E">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Thailand</w:t>
      </w:r>
    </w:p>
    <w:p w:rsidR="00000000" w:rsidDel="00000000" w:rsidP="00000000" w:rsidRDefault="00000000" w:rsidRPr="00000000" w14:paraId="0000009F">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Venezuela</w:t>
      </w:r>
    </w:p>
    <w:p w:rsidR="00000000" w:rsidDel="00000000" w:rsidP="00000000" w:rsidRDefault="00000000" w:rsidRPr="00000000" w14:paraId="000000A0">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Kenya</w:t>
      </w:r>
    </w:p>
    <w:p w:rsidR="00000000" w:rsidDel="00000000" w:rsidP="00000000" w:rsidRDefault="00000000" w:rsidRPr="00000000" w14:paraId="000000A1">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Uganda</w:t>
      </w:r>
    </w:p>
    <w:p w:rsidR="00000000" w:rsidDel="00000000" w:rsidP="00000000" w:rsidRDefault="00000000" w:rsidRPr="00000000" w14:paraId="000000A2">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Tanzania</w:t>
      </w:r>
    </w:p>
    <w:p w:rsidR="00000000" w:rsidDel="00000000" w:rsidP="00000000" w:rsidRDefault="00000000" w:rsidRPr="00000000" w14:paraId="000000A3">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Ghana</w:t>
      </w:r>
    </w:p>
    <w:p w:rsidR="00000000" w:rsidDel="00000000" w:rsidP="00000000" w:rsidRDefault="00000000" w:rsidRPr="00000000" w14:paraId="000000A4">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Algeria</w:t>
      </w:r>
    </w:p>
    <w:p w:rsidR="00000000" w:rsidDel="00000000" w:rsidP="00000000" w:rsidRDefault="00000000" w:rsidRPr="00000000" w14:paraId="000000A5">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Peru</w:t>
      </w:r>
    </w:p>
    <w:p w:rsidR="00000000" w:rsidDel="00000000" w:rsidP="00000000" w:rsidRDefault="00000000" w:rsidRPr="00000000" w14:paraId="000000A6">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Bolivia</w:t>
      </w:r>
    </w:p>
    <w:p w:rsidR="00000000" w:rsidDel="00000000" w:rsidP="00000000" w:rsidRDefault="00000000" w:rsidRPr="00000000" w14:paraId="000000A7">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Ecuador</w:t>
      </w:r>
    </w:p>
    <w:p w:rsidR="00000000" w:rsidDel="00000000" w:rsidP="00000000" w:rsidRDefault="00000000" w:rsidRPr="00000000" w14:paraId="000000A8">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Chile</w:t>
      </w:r>
    </w:p>
    <w:p w:rsidR="00000000" w:rsidDel="00000000" w:rsidP="00000000" w:rsidRDefault="00000000" w:rsidRPr="00000000" w14:paraId="000000A9">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Brazil</w:t>
      </w:r>
    </w:p>
    <w:p w:rsidR="00000000" w:rsidDel="00000000" w:rsidP="00000000" w:rsidRDefault="00000000" w:rsidRPr="00000000" w14:paraId="000000AA">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Hungary</w:t>
      </w:r>
    </w:p>
    <w:p w:rsidR="00000000" w:rsidDel="00000000" w:rsidP="00000000" w:rsidRDefault="00000000" w:rsidRPr="00000000" w14:paraId="000000AB">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Romania</w:t>
      </w:r>
    </w:p>
    <w:p w:rsidR="00000000" w:rsidDel="00000000" w:rsidP="00000000" w:rsidRDefault="00000000" w:rsidRPr="00000000" w14:paraId="000000AC">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Serbia</w:t>
      </w:r>
    </w:p>
    <w:p w:rsidR="00000000" w:rsidDel="00000000" w:rsidP="00000000" w:rsidRDefault="00000000" w:rsidRPr="00000000" w14:paraId="000000AD">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Italy</w:t>
      </w:r>
    </w:p>
    <w:p w:rsidR="00000000" w:rsidDel="00000000" w:rsidP="00000000" w:rsidRDefault="00000000" w:rsidRPr="00000000" w14:paraId="000000AE">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Spain</w:t>
      </w:r>
    </w:p>
    <w:p w:rsidR="00000000" w:rsidDel="00000000" w:rsidP="00000000" w:rsidRDefault="00000000" w:rsidRPr="00000000" w14:paraId="000000AF">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France</w:t>
      </w:r>
    </w:p>
    <w:p w:rsidR="00000000" w:rsidDel="00000000" w:rsidP="00000000" w:rsidRDefault="00000000" w:rsidRPr="00000000" w14:paraId="000000B0">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Germany</w:t>
      </w:r>
    </w:p>
    <w:p w:rsidR="00000000" w:rsidDel="00000000" w:rsidP="00000000" w:rsidRDefault="00000000" w:rsidRPr="00000000" w14:paraId="000000B1">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Australia</w:t>
      </w:r>
    </w:p>
    <w:p w:rsidR="00000000" w:rsidDel="00000000" w:rsidP="00000000" w:rsidRDefault="00000000" w:rsidRPr="00000000" w14:paraId="000000B2">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Ireland</w:t>
      </w:r>
    </w:p>
    <w:p w:rsidR="00000000" w:rsidDel="00000000" w:rsidP="00000000" w:rsidRDefault="00000000" w:rsidRPr="00000000" w14:paraId="000000B3">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Switzerland</w:t>
      </w:r>
    </w:p>
    <w:p w:rsidR="00000000" w:rsidDel="00000000" w:rsidP="00000000" w:rsidRDefault="00000000" w:rsidRPr="00000000" w14:paraId="000000B4">
      <w:pPr>
        <w:numPr>
          <w:ilvl w:val="0"/>
          <w:numId w:val="3"/>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Luxembourg</w:t>
      </w:r>
    </w:p>
    <w:p w:rsidR="00000000" w:rsidDel="00000000" w:rsidP="00000000" w:rsidRDefault="00000000" w:rsidRPr="00000000" w14:paraId="000000B5">
      <w:pPr>
        <w:numPr>
          <w:ilvl w:val="0"/>
          <w:numId w:val="3"/>
        </w:numPr>
        <w:spacing w:after="24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Norway</w:t>
      </w:r>
      <w:r w:rsidDel="00000000" w:rsidR="00000000" w:rsidRPr="00000000">
        <w:rPr>
          <w:rtl w:val="0"/>
        </w:rPr>
      </w:r>
    </w:p>
    <w:sectPr>
      <w:headerReference r:id="rId15" w:type="default"/>
      <w:footerReference r:id="rId16"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jc w:val="right"/>
      <w:rPr>
        <w:rFonts w:ascii="Cambria" w:cs="Cambria" w:eastAsia="Cambria" w:hAnsi="Cambria"/>
      </w:rPr>
    </w:pPr>
    <w:r w:rsidDel="00000000" w:rsidR="00000000" w:rsidRPr="00000000">
      <w:rPr>
        <w:rFonts w:ascii="Cambria" w:cs="Cambria" w:eastAsia="Cambria" w:hAnsi="Cambri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document/d/1of3LRiH-QEX5XHh4uHKHV0S9e8zuZXjAAuKWrWEfttM/edit?usp=sharing" TargetMode="External"/><Relationship Id="rId13" Type="http://schemas.openxmlformats.org/officeDocument/2006/relationships/header" Target="head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mcpheewon@gmail.com" TargetMode="External"/><Relationship Id="rId15" Type="http://schemas.openxmlformats.org/officeDocument/2006/relationships/header" Target="header3.xml"/><Relationship Id="rId14"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likbani2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DocumentFromInternetSite</b:SourceType>
    <b:DayAccessed>28</b:DayAccessed>
    <b:MonthAccessed>December</b:MonthAccessed>
    <b:Title>Main Committees of the General Assembly of the United Nations</b:Title>
    <b:URL>https://www.un.org/en/ga/maincommittees/</b:URL>
    <b:InternetSiteTitle>the United Nations</b:InternetSiteTitle>
    <b:YearAccessed>2025</b:YearAccessed>
    <b:Gdcea>{"AccessedType":"Website"}</b:Gdcea>
  </b:Source>
  <b:Source>
    <b:Tag>source2</b:Tag>
    <b:SourceType>DocumentFromInternetSite</b:SourceType>
    <b:DayAccessed>28</b:DayAccessed>
    <b:MonthAccessed>December</b:MonthAccessed>
    <b:Title>Mental health</b:Title>
    <b:URL>https://www.who.int/health-topics/mental-health#tab=tab_1</b:URL>
    <b:InternetSiteTitle>World Health Organization (WHO)</b:InternetSiteTitle>
    <b:YearAccessed>2025</b:YearAccessed>
    <b:Gdcea>{"AccessedType":"Website"}</b:Gdcea>
  </b:Source>
  <b:Source>
    <b:Tag>source3</b:Tag>
    <b:SourceType>DocumentFromInternetSite</b:SourceType>
    <b:DayAccessed>1</b:DayAccessed>
    <b:MonthAccessed>January</b:MonthAccessed>
    <b:URL>https://www.mhpss.net/</b:URL>
    <b:InternetSiteTitle>The MHPSS Network</b:InternetSiteTitle>
    <b:YearAccessed>2026</b:YearAccessed>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