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1440" w:top="1440" w:left="1440" w:right="1440" w:header="720" w:footer="720"/>
          <w:pgNumType w:start="1"/>
        </w:sectPr>
      </w:pPr>
      <w:bookmarkStart w:colFirst="0" w:colLast="0" w:name="_9lvucgtopsa3"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Delegate List</w:t>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Liberals</w:t>
      </w:r>
    </w:p>
    <w:p w:rsidR="00000000" w:rsidDel="00000000" w:rsidP="00000000" w:rsidRDefault="00000000" w:rsidRPr="00000000" w14:paraId="00000003">
      <w:pPr>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04">
      <w:pPr>
        <w:numPr>
          <w:ilvl w:val="0"/>
          <w:numId w:val="1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 Carney: Prime Minister of Canada</w:t>
      </w:r>
    </w:p>
    <w:p w:rsidR="00000000" w:rsidDel="00000000" w:rsidP="00000000" w:rsidRDefault="00000000" w:rsidRPr="00000000" w14:paraId="00000005">
      <w:pPr>
        <w:numPr>
          <w:ilvl w:val="0"/>
          <w:numId w:val="1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François-Philippe Champagne: Minister of Finance and National Revenue</w:t>
      </w:r>
    </w:p>
    <w:p w:rsidR="00000000" w:rsidDel="00000000" w:rsidP="00000000" w:rsidRDefault="00000000" w:rsidRPr="00000000" w14:paraId="00000006">
      <w:pPr>
        <w:numPr>
          <w:ilvl w:val="0"/>
          <w:numId w:val="1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Patty Hajdu: Minister of Jobs and Families</w:t>
      </w:r>
    </w:p>
    <w:p w:rsidR="00000000" w:rsidDel="00000000" w:rsidP="00000000" w:rsidRDefault="00000000" w:rsidRPr="00000000" w14:paraId="00000007">
      <w:pPr>
        <w:numPr>
          <w:ilvl w:val="0"/>
          <w:numId w:val="1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Sean Fraser: Minister of Justice and Attorney General of Canada</w:t>
      </w:r>
    </w:p>
    <w:p w:rsidR="00000000" w:rsidDel="00000000" w:rsidP="00000000" w:rsidRDefault="00000000" w:rsidRPr="00000000" w14:paraId="00000008">
      <w:pPr>
        <w:numPr>
          <w:ilvl w:val="0"/>
          <w:numId w:val="1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Rechie Valdez: Minister of Women and Gender Equality</w:t>
      </w:r>
    </w:p>
    <w:p w:rsidR="00000000" w:rsidDel="00000000" w:rsidP="00000000" w:rsidRDefault="00000000" w:rsidRPr="00000000" w14:paraId="00000009">
      <w:pPr>
        <w:numPr>
          <w:ilvl w:val="0"/>
          <w:numId w:val="1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 Miller: Minister of Canadian Identity and Culture</w:t>
      </w:r>
    </w:p>
    <w:p w:rsidR="00000000" w:rsidDel="00000000" w:rsidP="00000000" w:rsidRDefault="00000000" w:rsidRPr="00000000" w14:paraId="0000000A">
      <w:pPr>
        <w:numPr>
          <w:ilvl w:val="0"/>
          <w:numId w:val="1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Shafqat Ali: President of the Treasury Board of Canada</w:t>
      </w:r>
    </w:p>
    <w:p w:rsidR="00000000" w:rsidDel="00000000" w:rsidP="00000000" w:rsidRDefault="00000000" w:rsidRPr="00000000" w14:paraId="0000000B">
      <w:pPr>
        <w:numPr>
          <w:ilvl w:val="0"/>
          <w:numId w:val="1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Mélanie Joly: Minister of Industry</w:t>
      </w:r>
    </w:p>
    <w:p w:rsidR="00000000" w:rsidDel="00000000" w:rsidP="00000000" w:rsidRDefault="00000000" w:rsidRPr="00000000" w14:paraId="0000000C">
      <w:pPr>
        <w:numPr>
          <w:ilvl w:val="0"/>
          <w:numId w:val="1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Maninder Sidhu: Minister of International Trade</w:t>
      </w:r>
    </w:p>
    <w:p w:rsidR="00000000" w:rsidDel="00000000" w:rsidP="00000000" w:rsidRDefault="00000000" w:rsidRPr="00000000" w14:paraId="0000000D">
      <w:pPr>
        <w:numPr>
          <w:ilvl w:val="0"/>
          <w:numId w:val="1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Evan Solomon: Minister of Artificial Intelligence and Digital Innovation</w:t>
      </w:r>
    </w:p>
    <w:p w:rsidR="00000000" w:rsidDel="00000000" w:rsidP="00000000" w:rsidRDefault="00000000" w:rsidRPr="00000000" w14:paraId="0000000E">
      <w:pPr>
        <w:numPr>
          <w:ilvl w:val="0"/>
          <w:numId w:val="1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Zerucelli: Secretary of State for Labour</w:t>
      </w:r>
    </w:p>
    <w:p w:rsidR="00000000" w:rsidDel="00000000" w:rsidP="00000000" w:rsidRDefault="00000000" w:rsidRPr="00000000" w14:paraId="0000000F">
      <w:pPr>
        <w:numPr>
          <w:ilvl w:val="0"/>
          <w:numId w:val="1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Anna M. Gainey: Secretary of State for Children and Youth</w:t>
      </w:r>
    </w:p>
    <w:p w:rsidR="00000000" w:rsidDel="00000000" w:rsidP="00000000" w:rsidRDefault="00000000" w:rsidRPr="00000000" w14:paraId="00000010">
      <w:pPr>
        <w:numPr>
          <w:ilvl w:val="0"/>
          <w:numId w:val="1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Sameer Zuberi: Parliamentary Secretary to the Minister of Diversity, Inclusion and Persons with Disabilities</w:t>
      </w:r>
    </w:p>
    <w:p w:rsidR="00000000" w:rsidDel="00000000" w:rsidP="00000000" w:rsidRDefault="00000000" w:rsidRPr="00000000" w14:paraId="00000011">
      <w:pPr>
        <w:numPr>
          <w:ilvl w:val="0"/>
          <w:numId w:val="1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Gregor Robertson: Minister of Housing and Infrastructure</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Conservatives</w:t>
      </w:r>
    </w:p>
    <w:p w:rsidR="00000000" w:rsidDel="00000000" w:rsidP="00000000" w:rsidRDefault="00000000" w:rsidRPr="00000000" w14:paraId="00000014">
      <w:pPr>
        <w:numPr>
          <w:ilvl w:val="0"/>
          <w:numId w:val="1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Pierre Poilievre: Leader of the Official Opposition</w:t>
      </w:r>
    </w:p>
    <w:p w:rsidR="00000000" w:rsidDel="00000000" w:rsidP="00000000" w:rsidRDefault="00000000" w:rsidRPr="00000000" w14:paraId="00000015">
      <w:pPr>
        <w:numPr>
          <w:ilvl w:val="0"/>
          <w:numId w:val="1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Andrew Scheer: House leader of the Official Opposition</w:t>
      </w:r>
    </w:p>
    <w:p w:rsidR="00000000" w:rsidDel="00000000" w:rsidP="00000000" w:rsidRDefault="00000000" w:rsidRPr="00000000" w14:paraId="00000016">
      <w:pPr>
        <w:numPr>
          <w:ilvl w:val="0"/>
          <w:numId w:val="1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 Uppal: Deputy Leader of the Official Opposition</w:t>
      </w:r>
    </w:p>
    <w:p w:rsidR="00000000" w:rsidDel="00000000" w:rsidP="00000000" w:rsidRDefault="00000000" w:rsidRPr="00000000" w14:paraId="00000017">
      <w:pPr>
        <w:numPr>
          <w:ilvl w:val="0"/>
          <w:numId w:val="1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Kevin Waugh: Associate Shadow Minister for Canadian Identity and Culture</w:t>
      </w:r>
    </w:p>
    <w:p w:rsidR="00000000" w:rsidDel="00000000" w:rsidP="00000000" w:rsidRDefault="00000000" w:rsidRPr="00000000" w14:paraId="00000018">
      <w:pPr>
        <w:numPr>
          <w:ilvl w:val="0"/>
          <w:numId w:val="1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Tako van Popta: Associate Shadow Minister for Pacific Economic Development Canada</w:t>
      </w:r>
    </w:p>
    <w:p w:rsidR="00000000" w:rsidDel="00000000" w:rsidP="00000000" w:rsidRDefault="00000000" w:rsidRPr="00000000" w14:paraId="00000019">
      <w:pPr>
        <w:numPr>
          <w:ilvl w:val="0"/>
          <w:numId w:val="1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 Kelly: Associate Shadow Minister for Prairies Economic Development Canada &amp; Economic Advisor to the Leader</w:t>
      </w:r>
    </w:p>
    <w:p w:rsidR="00000000" w:rsidDel="00000000" w:rsidP="00000000" w:rsidRDefault="00000000" w:rsidRPr="00000000" w14:paraId="0000001A">
      <w:pPr>
        <w:numPr>
          <w:ilvl w:val="0"/>
          <w:numId w:val="1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Garnett Genuis: Shadow Minister for Employment</w:t>
      </w:r>
    </w:p>
    <w:p w:rsidR="00000000" w:rsidDel="00000000" w:rsidP="00000000" w:rsidRDefault="00000000" w:rsidRPr="00000000" w14:paraId="0000001B">
      <w:pPr>
        <w:numPr>
          <w:ilvl w:val="0"/>
          <w:numId w:val="1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Larry Brock: Shadow Minister for Justice &amp; Attorney General of Canada</w:t>
      </w:r>
    </w:p>
    <w:p w:rsidR="00000000" w:rsidDel="00000000" w:rsidP="00000000" w:rsidRDefault="00000000" w:rsidRPr="00000000" w14:paraId="0000001C">
      <w:pPr>
        <w:numPr>
          <w:ilvl w:val="0"/>
          <w:numId w:val="1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Laila Goodridge: Shadow Minister for Social Development and Families</w:t>
      </w:r>
    </w:p>
    <w:p w:rsidR="00000000" w:rsidDel="00000000" w:rsidP="00000000" w:rsidRDefault="00000000" w:rsidRPr="00000000" w14:paraId="0000001D">
      <w:pPr>
        <w:numPr>
          <w:ilvl w:val="0"/>
          <w:numId w:val="1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Stephanie Kusie: Shadow Minister for the Treasury Board</w:t>
      </w:r>
    </w:p>
    <w:p w:rsidR="00000000" w:rsidDel="00000000" w:rsidP="00000000" w:rsidRDefault="00000000" w:rsidRPr="00000000" w14:paraId="0000001E">
      <w:pPr>
        <w:numPr>
          <w:ilvl w:val="0"/>
          <w:numId w:val="1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Laila Goodridge:Shadow Minister for Social Development and Families</w:t>
      </w:r>
    </w:p>
    <w:p w:rsidR="00000000" w:rsidDel="00000000" w:rsidP="00000000" w:rsidRDefault="00000000" w:rsidRPr="00000000" w14:paraId="0000001F">
      <w:pPr>
        <w:numPr>
          <w:ilvl w:val="0"/>
          <w:numId w:val="1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Raquel Dancho: Shadow Minister for Industry</w:t>
      </w:r>
    </w:p>
    <w:p w:rsidR="00000000" w:rsidDel="00000000" w:rsidP="00000000" w:rsidRDefault="00000000" w:rsidRPr="00000000" w14:paraId="00000020">
      <w:pPr>
        <w:numPr>
          <w:ilvl w:val="0"/>
          <w:numId w:val="1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 Lobb: Shadow Minister for Digital Government and Artificial Intelligence</w:t>
      </w:r>
    </w:p>
    <w:p w:rsidR="00000000" w:rsidDel="00000000" w:rsidP="00000000" w:rsidRDefault="00000000" w:rsidRPr="00000000" w14:paraId="00000021">
      <w:pPr>
        <w:numPr>
          <w:ilvl w:val="0"/>
          <w:numId w:val="1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Scott Aitchison:Shadow Minister for Housing</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NDP</w:t>
      </w:r>
    </w:p>
    <w:p w:rsidR="00000000" w:rsidDel="00000000" w:rsidP="00000000" w:rsidRDefault="00000000" w:rsidRPr="00000000" w14:paraId="00000024">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 Davies: Interim leader of the New Democratic Party</w:t>
      </w:r>
    </w:p>
    <w:p w:rsidR="00000000" w:rsidDel="00000000" w:rsidP="00000000" w:rsidRDefault="00000000" w:rsidRPr="00000000" w14:paraId="00000025">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Doly Begum: Shadow Minister for Public Transit, Equity and Anti-Racism</w:t>
      </w:r>
    </w:p>
    <w:p w:rsidR="00000000" w:rsidDel="00000000" w:rsidP="00000000" w:rsidRDefault="00000000" w:rsidRPr="00000000" w14:paraId="00000026">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Jessica Bell: Shadow Minister for Finance and Treasury Board</w:t>
      </w:r>
    </w:p>
    <w:p w:rsidR="00000000" w:rsidDel="00000000" w:rsidP="00000000" w:rsidRDefault="00000000" w:rsidRPr="00000000" w14:paraId="00000027">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Catherine Fife: Shadow Minister for Economic Development, Job Creation and Trade</w:t>
      </w:r>
    </w:p>
    <w:p w:rsidR="00000000" w:rsidDel="00000000" w:rsidP="00000000" w:rsidRDefault="00000000" w:rsidRPr="00000000" w14:paraId="00000028">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Alexa Gilmour: Shadow Minister for Women’s Social and Economic Opportunity, Citizenship and Multiculturalism, with responsibility for the Ontario Autism Program</w:t>
      </w:r>
    </w:p>
    <w:p w:rsidR="00000000" w:rsidDel="00000000" w:rsidP="00000000" w:rsidRDefault="00000000" w:rsidRPr="00000000" w14:paraId="00000029">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Lisa Gretzky: Shadow Minister for Children, Community, and Social Services</w:t>
      </w:r>
    </w:p>
    <w:p w:rsidR="00000000" w:rsidDel="00000000" w:rsidP="00000000" w:rsidRDefault="00000000" w:rsidRPr="00000000" w14:paraId="0000002A">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Catherine McKenney: Shadow Minister for Housing</w:t>
      </w:r>
    </w:p>
    <w:p w:rsidR="00000000" w:rsidDel="00000000" w:rsidP="00000000" w:rsidRDefault="00000000" w:rsidRPr="00000000" w14:paraId="0000002B">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Jamie West: Shadow Minister for Labour, Energy and Mines</w:t>
      </w:r>
    </w:p>
    <w:p w:rsidR="00000000" w:rsidDel="00000000" w:rsidP="00000000" w:rsidRDefault="00000000" w:rsidRPr="00000000" w14:paraId="0000002C">
      <w:pPr>
        <w:numPr>
          <w:ilvl w:val="0"/>
          <w:numId w:val="2"/>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Jennifer French: Shadow Minister for Infrastructure, Transportation</w:t>
      </w:r>
      <w:r w:rsidDel="00000000" w:rsidR="00000000" w:rsidRPr="00000000">
        <w:br w:type="page"/>
      </w: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1155cc"/>
            <w:sz w:val="24"/>
            <w:szCs w:val="24"/>
            <w:u w:val="single"/>
            <w:rtl w:val="0"/>
          </w:rPr>
          <w:t xml:space="preserve">https://www.ourcommons.ca/members/en/search</w:t>
        </w:r>
      </w:hyperlink>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1155cc"/>
            <w:sz w:val="24"/>
            <w:szCs w:val="24"/>
            <w:u w:val="single"/>
            <w:rtl w:val="0"/>
          </w:rPr>
          <w:t xml:space="preserve">https://www.pm.gc.ca/en/cabinet</w:t>
        </w:r>
      </w:hyperlink>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1155cc"/>
            <w:sz w:val="24"/>
            <w:szCs w:val="24"/>
            <w:u w:val="single"/>
            <w:rtl w:val="0"/>
          </w:rPr>
          <w:t xml:space="preserve">https://www.conservative.ca/team/shadow-cabinet/</w:t>
        </w:r>
      </w:hyperlink>
      <w:r w:rsidDel="00000000" w:rsidR="00000000" w:rsidRPr="00000000">
        <w:rPr>
          <w:rFonts w:ascii="Times New Roman" w:cs="Times New Roman" w:eastAsia="Times New Roman" w:hAnsi="Times New Roman"/>
          <w:sz w:val="24"/>
          <w:szCs w:val="24"/>
          <w:rtl w:val="0"/>
        </w:rPr>
        <w:br w:type="textWrapping"/>
      </w:r>
      <w:hyperlink r:id="rId9">
        <w:r w:rsidDel="00000000" w:rsidR="00000000" w:rsidRPr="00000000">
          <w:rPr>
            <w:rFonts w:ascii="Times New Roman" w:cs="Times New Roman" w:eastAsia="Times New Roman" w:hAnsi="Times New Roman"/>
            <w:color w:val="1155cc"/>
            <w:sz w:val="24"/>
            <w:szCs w:val="24"/>
            <w:u w:val="single"/>
            <w:rtl w:val="0"/>
          </w:rPr>
          <w:t xml:space="preserve">https://www.ondpcaucus.com/shadow_cabinet</w:t>
        </w:r>
      </w:hyperlink>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4"/>
          <w:szCs w:val="24"/>
        </w:rPr>
        <w:sectPr>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33">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sectPr>
          <w:type w:val="nextPage"/>
          <w:pgSz w:h="15840" w:w="12240" w:orient="portrait"/>
          <w:pgMar w:bottom="1440" w:top="1440" w:left="1440" w:right="1440" w:header="720" w:footer="720"/>
          <w:pgNumType w:start="1"/>
        </w:sectPr>
      </w:pPr>
      <w:bookmarkStart w:colFirst="0" w:colLast="0" w:name="_7gcbm2qc3nsc" w:id="1"/>
      <w:bookmarkEnd w:id="1"/>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Background Guide</w:t>
      </w:r>
      <w:r w:rsidDel="00000000" w:rsidR="00000000" w:rsidRPr="00000000">
        <w:rPr>
          <w:rtl w:val="0"/>
        </w:rPr>
      </w:r>
    </w:p>
    <w:p w:rsidR="00000000" w:rsidDel="00000000" w:rsidP="00000000" w:rsidRDefault="00000000" w:rsidRPr="00000000" w14:paraId="00000034">
      <w:pPr>
        <w:spacing w:line="360" w:lineRule="auto"/>
        <w:jc w:val="center"/>
        <w:rPr>
          <w:rFonts w:ascii="Times New Roman" w:cs="Times New Roman" w:eastAsia="Times New Roman" w:hAnsi="Times New Roman"/>
          <w:sz w:val="66"/>
          <w:szCs w:val="66"/>
        </w:rPr>
      </w:pPr>
      <w:r w:rsidDel="00000000" w:rsidR="00000000" w:rsidRPr="00000000">
        <w:rPr>
          <w:rFonts w:ascii="Times New Roman" w:cs="Times New Roman" w:eastAsia="Times New Roman" w:hAnsi="Times New Roman"/>
          <w:sz w:val="66"/>
          <w:szCs w:val="66"/>
          <w:rtl w:val="0"/>
        </w:rPr>
        <w:t xml:space="preserve">King’sMUN 2026</w:t>
      </w:r>
    </w:p>
    <w:p w:rsidR="00000000" w:rsidDel="00000000" w:rsidP="00000000" w:rsidRDefault="00000000" w:rsidRPr="00000000" w14:paraId="00000035">
      <w:pPr>
        <w:spacing w:line="360" w:lineRule="auto"/>
        <w:jc w:val="center"/>
        <w:rPr>
          <w:rFonts w:ascii="Times New Roman" w:cs="Times New Roman" w:eastAsia="Times New Roman" w:hAnsi="Times New Roman"/>
          <w:sz w:val="50"/>
          <w:szCs w:val="50"/>
        </w:rPr>
      </w:pPr>
      <w:r w:rsidDel="00000000" w:rsidR="00000000" w:rsidRPr="00000000">
        <w:rPr>
          <w:rFonts w:ascii="Times New Roman" w:cs="Times New Roman" w:eastAsia="Times New Roman" w:hAnsi="Times New Roman"/>
          <w:sz w:val="66"/>
          <w:szCs w:val="66"/>
          <w:rtl w:val="0"/>
        </w:rPr>
        <w:t xml:space="preserve">Government of Canada</w:t>
      </w:r>
      <w:r w:rsidDel="00000000" w:rsidR="00000000" w:rsidRPr="00000000">
        <w:rPr>
          <w:rtl w:val="0"/>
        </w:rPr>
      </w:r>
    </w:p>
    <w:p w:rsidR="00000000" w:rsidDel="00000000" w:rsidP="00000000" w:rsidRDefault="00000000" w:rsidRPr="00000000" w14:paraId="00000036">
      <w:pPr>
        <w:spacing w:line="360" w:lineRule="auto"/>
        <w:jc w:val="center"/>
        <w:rPr>
          <w:rFonts w:ascii="Times New Roman" w:cs="Times New Roman" w:eastAsia="Times New Roman" w:hAnsi="Times New Roman"/>
          <w:sz w:val="50"/>
          <w:szCs w:val="50"/>
        </w:rPr>
      </w:pPr>
      <w:r w:rsidDel="00000000" w:rsidR="00000000" w:rsidRPr="00000000">
        <w:rPr>
          <w:rFonts w:ascii="Times New Roman" w:cs="Times New Roman" w:eastAsia="Times New Roman" w:hAnsi="Times New Roman"/>
          <w:sz w:val="50"/>
          <w:szCs w:val="50"/>
          <w:rtl w:val="0"/>
        </w:rPr>
        <w:t xml:space="preserve">Background Guide</w:t>
      </w:r>
    </w:p>
    <w:p w:rsidR="00000000" w:rsidDel="00000000" w:rsidP="00000000" w:rsidRDefault="00000000" w:rsidRPr="00000000" w14:paraId="00000037">
      <w:pPr>
        <w:spacing w:line="360" w:lineRule="auto"/>
        <w:jc w:val="center"/>
        <w:rPr>
          <w:rFonts w:ascii="Times New Roman" w:cs="Times New Roman" w:eastAsia="Times New Roman" w:hAnsi="Times New Roman"/>
          <w:sz w:val="50"/>
          <w:szCs w:val="50"/>
        </w:rPr>
      </w:pPr>
      <w:r w:rsidDel="00000000" w:rsidR="00000000" w:rsidRPr="00000000">
        <w:rPr>
          <w:rFonts w:ascii="Times New Roman" w:cs="Times New Roman" w:eastAsia="Times New Roman" w:hAnsi="Times New Roman"/>
          <w:sz w:val="50"/>
          <w:szCs w:val="50"/>
          <w:rtl w:val="0"/>
        </w:rPr>
        <w:t xml:space="preserve">Youssef Atalleh and Daniel Irumhekha</w:t>
      </w:r>
    </w:p>
    <w:p w:rsidR="00000000" w:rsidDel="00000000" w:rsidP="00000000" w:rsidRDefault="00000000" w:rsidRPr="00000000" w14:paraId="00000038">
      <w:pPr>
        <w:spacing w:line="360" w:lineRule="auto"/>
        <w:jc w:val="center"/>
        <w:rPr>
          <w:rFonts w:ascii="Times New Roman" w:cs="Times New Roman" w:eastAsia="Times New Roman" w:hAnsi="Times New Roman"/>
          <w:sz w:val="50"/>
          <w:szCs w:val="50"/>
        </w:rPr>
      </w:pPr>
      <w:r w:rsidDel="00000000" w:rsidR="00000000" w:rsidRPr="00000000">
        <w:rPr>
          <w:rtl w:val="0"/>
        </w:rPr>
      </w:r>
    </w:p>
    <w:p w:rsidR="00000000" w:rsidDel="00000000" w:rsidP="00000000" w:rsidRDefault="00000000" w:rsidRPr="00000000" w14:paraId="00000039">
      <w:pPr>
        <w:spacing w:line="360" w:lineRule="auto"/>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Topic 1: Addressing discrimination in the workplace and promoting diversity in hiring</w:t>
      </w:r>
    </w:p>
    <w:p w:rsidR="00000000" w:rsidDel="00000000" w:rsidP="00000000" w:rsidRDefault="00000000" w:rsidRPr="00000000" w14:paraId="0000003A">
      <w:pPr>
        <w:spacing w:line="360" w:lineRule="auto"/>
        <w:jc w:val="center"/>
        <w:rPr>
          <w:rFonts w:ascii="Times New Roman" w:cs="Times New Roman" w:eastAsia="Times New Roman" w:hAnsi="Times New Roman"/>
          <w:sz w:val="66"/>
          <w:szCs w:val="66"/>
        </w:rPr>
      </w:pPr>
      <w:r w:rsidDel="00000000" w:rsidR="00000000" w:rsidRPr="00000000">
        <w:rPr>
          <w:rFonts w:ascii="Times New Roman" w:cs="Times New Roman" w:eastAsia="Times New Roman" w:hAnsi="Times New Roman"/>
          <w:sz w:val="32"/>
          <w:szCs w:val="32"/>
          <w:rtl w:val="0"/>
        </w:rPr>
        <w:t xml:space="preserve">Topic 2: Balancing federal budgets amidst a housing crisis: policy priorities for equity and sustainability​</w:t>
      </w:r>
      <w:r w:rsidDel="00000000" w:rsidR="00000000" w:rsidRPr="00000000">
        <w:rPr>
          <w:rtl w:val="0"/>
        </w:rPr>
      </w:r>
    </w:p>
    <w:p w:rsidR="00000000" w:rsidDel="00000000" w:rsidP="00000000" w:rsidRDefault="00000000" w:rsidRPr="00000000" w14:paraId="0000003B">
      <w:pPr>
        <w:jc w:val="center"/>
        <w:rPr>
          <w:rFonts w:ascii="Times New Roman" w:cs="Times New Roman" w:eastAsia="Times New Roman" w:hAnsi="Times New Roman"/>
          <w:sz w:val="66"/>
          <w:szCs w:val="66"/>
        </w:rPr>
      </w:pPr>
      <w:r w:rsidDel="00000000" w:rsidR="00000000" w:rsidRPr="00000000">
        <w:rPr>
          <w:rFonts w:ascii="Times New Roman" w:cs="Times New Roman" w:eastAsia="Times New Roman" w:hAnsi="Times New Roman"/>
          <w:sz w:val="66"/>
          <w:szCs w:val="66"/>
        </w:rPr>
        <w:drawing>
          <wp:inline distB="114300" distT="114300" distL="114300" distR="114300">
            <wp:extent cx="2972181" cy="2972181"/>
            <wp:effectExtent b="0" l="0" r="0" t="0"/>
            <wp:docPr id="2"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2972181" cy="2972181"/>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King’sMUN 2026 delegates, </w:t>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this year’s Co-Secretary Generals of King’sMUN, we are truly honoured to welcome you to our 12th annual conference. The Secretariat has been working hard throughout this school year to deliver you an incredible, in-person conference with various unique committees, experienced chairs, and a fruitful day of debate. </w:t>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United Nations, a reenactment of the function of the United Nations, is designed for students to come together to debate, discuss, and develop creative resolutions to various pressing issues that plague our current world. In most committees, students take on the positions of multiple countries, characters, or political figures to create solutions for real and fictional issues and crises. Our committees delve into historical events, future scenarios, and fictional topics.</w:t>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our personal experiences with MUN, we have developed many skillsets which will lead us throughout our lives, such as confidence in public speaking, leadership, collaboration,</w:t>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 creative problem-solving. Furthermore, MUN promotes lifelong connections, as we meet delegates who share similar passions in committee sessions. We genuinely believe that your participation in MUN will guide you throughout your high school journey and beyond. </w:t>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King’sMUN, we provide a variety of committees to ensure that we have something of interest for everyone. From very current pressing issues (i.e. UNSC and the GA) and issues in sports (i.e. NFL) to fictional committees, yet applicable issues (i.e. Pokémon, Grammys, and Zootopia), issues set in our very own communities (i.e. Ontario Secondary and Post-Secondary Education and Government of Canada) and future-projected crises to promote critical thinking (i.e. Canada vs. U.S. and Artificial Intelligence). We strive to ensure that there is appeal for a variety of delegates, so that you can truly engage with MUN’s benefits in a way that resonates with you. Whether you have no experience or have attended many conferences, there is a place at King’sMUN for you! </w:t>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Once again, we are thrilled to welcome all delegates, new or returning, to King’sMUN. We hope you will engage in fruitful debate and have a fantastic time at King’sMUN 2026. </w:t>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Sincerely, </w:t>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 Hanoudi and Ishan Ramchandani</w:t>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Co-Secretary Generals </w:t>
      </w:r>
    </w:p>
    <w:p w:rsidR="00000000" w:rsidDel="00000000" w:rsidP="00000000" w:rsidRDefault="00000000" w:rsidRPr="00000000" w14:paraId="0000004C">
      <w:pP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sz w:val="24"/>
          <w:szCs w:val="24"/>
          <w:rtl w:val="0"/>
        </w:rPr>
        <w:t xml:space="preserve">King’sMUN 2026</w:t>
      </w:r>
      <w:r w:rsidDel="00000000" w:rsidR="00000000" w:rsidRPr="00000000">
        <w:br w:type="page"/>
      </w:r>
      <w:r w:rsidDel="00000000" w:rsidR="00000000" w:rsidRPr="00000000">
        <w:rPr>
          <w:rtl w:val="0"/>
        </w:rPr>
      </w:r>
    </w:p>
    <w:p w:rsidR="00000000" w:rsidDel="00000000" w:rsidP="00000000" w:rsidRDefault="00000000" w:rsidRPr="00000000" w14:paraId="0000004D">
      <w:pPr>
        <w:spacing w:after="200" w:before="200" w:lineRule="auto"/>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Pr>
        <w:drawing>
          <wp:inline distB="114300" distT="114300" distL="114300" distR="114300">
            <wp:extent cx="5943600" cy="7696200"/>
            <wp:effectExtent b="0" l="0" r="0" t="0"/>
            <wp:docPr id="1"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5943600" cy="7696200"/>
                    </a:xfrm>
                    <a:prstGeom prst="rect"/>
                    <a:ln/>
                  </pic:spPr>
                </pic:pic>
              </a:graphicData>
            </a:graphic>
          </wp:inline>
        </w:drawing>
      </w:r>
      <w:r w:rsidDel="00000000" w:rsidR="00000000" w:rsidRPr="00000000">
        <w:rPr>
          <w:rFonts w:ascii="Times New Roman" w:cs="Times New Roman" w:eastAsia="Times New Roman" w:hAnsi="Times New Roman"/>
          <w:b w:val="1"/>
          <w:bCs w:val="1"/>
          <w:sz w:val="24"/>
          <w:szCs w:val="24"/>
          <w:u w:val="single"/>
          <w:rtl w:val="0"/>
        </w:rPr>
        <w:t xml:space="preserve">Purpose of Committee and Disclaimer</w:t>
      </w:r>
    </w:p>
    <w:p w:rsidR="00000000" w:rsidDel="00000000" w:rsidP="00000000" w:rsidRDefault="00000000" w:rsidRPr="00000000" w14:paraId="0000004E">
      <w:pPr>
        <w:spacing w:after="200" w:before="20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4F">
      <w:pPr>
        <w:spacing w:after="200" w:before="20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Government of Canada committee serves as a forum for high-level policy deliberation and executive decision-making regarding the nation's most pressing domestic and socio-economic challenges. This committee is responsible for facilitating inter-departmental collaboration and developing strategic policies that balance the federal mandate with provincial jurisdictions and the needs of a diverse population. In this committee, delegates will address two critical and interconnected topics: Addressing discrimination in the workplace and promoting diversity in hiring, and Balancing federal budgets amidst a housing crisis: policy priorities for equity and sustainability.</w:t>
      </w:r>
    </w:p>
    <w:p w:rsidR="00000000" w:rsidDel="00000000" w:rsidP="00000000" w:rsidRDefault="00000000" w:rsidRPr="00000000" w14:paraId="00000050">
      <w:pPr>
        <w:spacing w:after="200" w:before="20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purpose of this committee is to encourage constructive debate, evidence-based perspectives, and innovative solutions that reflect the legal, economic, technological, and humanitarian dimensions of Canadian governance. Delegates are expected to represent their assigned portfolios or roles, base their stances on current legislative data and fiscal realities, and work collaboratively to propose realistic and sustainable frameworks for the country's future.</w:t>
      </w:r>
    </w:p>
    <w:p w:rsidR="00000000" w:rsidDel="00000000" w:rsidP="00000000" w:rsidRDefault="00000000" w:rsidRPr="00000000" w14:paraId="00000051">
      <w:pPr>
        <w:spacing w:after="200" w:before="20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topics discussed in this committee involve sensitive national issues, including systemic racism, economic marginalization, and the fundamental right to housing. Delegates should approach debate with respect, professionalism, and sensitivity to the lived experiences of Canadians at all times.</w:t>
      </w:r>
    </w:p>
    <w:p w:rsidR="00000000" w:rsidDel="00000000" w:rsidP="00000000" w:rsidRDefault="00000000" w:rsidRPr="00000000" w14:paraId="00000052">
      <w:pPr>
        <w:spacing w:after="200" w:before="20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Speeches should avoid inflammatory language, personal attacks, or the marginalization of specific groups or identities. While robust debate is encouraged, all discussion must remain diplomatic and aligned with the principles of the Canadian Charter of Rights and Freedoms, including the values of equality, mutual respect, and the peaceful resolution of domestic challenges.</w:t>
      </w:r>
    </w:p>
    <w:p w:rsidR="00000000" w:rsidDel="00000000" w:rsidP="00000000" w:rsidRDefault="00000000" w:rsidRPr="00000000" w14:paraId="00000053">
      <w:pPr>
        <w:spacing w:after="200" w:before="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any questions or concerns arise before the conference, please do not hesitate to reach out at </w:t>
      </w:r>
      <w:hyperlink r:id="rId12">
        <w:r w:rsidDel="00000000" w:rsidR="00000000" w:rsidRPr="00000000">
          <w:rPr>
            <w:rFonts w:ascii="Times New Roman" w:cs="Times New Roman" w:eastAsia="Times New Roman" w:hAnsi="Times New Roman"/>
            <w:color w:val="1155cc"/>
            <w:sz w:val="24"/>
            <w:szCs w:val="24"/>
            <w:u w:val="single"/>
            <w:rtl w:val="0"/>
          </w:rPr>
          <w:t xml:space="preserve">danirumhekha@gmail.com</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54">
      <w:pPr>
        <w:pStyle w:val="Heading3"/>
        <w:keepNext w:val="0"/>
        <w:keepLines w:val="0"/>
        <w:spacing w:before="280" w:lineRule="auto"/>
        <w:jc w:val="center"/>
        <w:rPr>
          <w:rFonts w:ascii="Times New Roman" w:cs="Times New Roman" w:eastAsia="Times New Roman" w:hAnsi="Times New Roman"/>
          <w:b w:val="1"/>
          <w:bCs w:val="1"/>
          <w:color w:val="000000"/>
          <w:sz w:val="24"/>
          <w:szCs w:val="24"/>
          <w:u w:val="single"/>
        </w:rPr>
      </w:pPr>
      <w:bookmarkStart w:colFirst="0" w:colLast="0" w:name="_f1dofm7u2r0t" w:id="2"/>
      <w:bookmarkEnd w:id="2"/>
      <w:r w:rsidDel="00000000" w:rsidR="00000000" w:rsidRPr="00000000">
        <w:rPr>
          <w:rFonts w:ascii="Times New Roman" w:cs="Times New Roman" w:eastAsia="Times New Roman" w:hAnsi="Times New Roman"/>
          <w:b w:val="1"/>
          <w:bCs w:val="1"/>
          <w:color w:val="000000"/>
          <w:sz w:val="24"/>
          <w:szCs w:val="24"/>
          <w:u w:val="single"/>
          <w:rtl w:val="0"/>
        </w:rPr>
        <w:t xml:space="preserve">Logistics and Committee Rules of Procedure</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Submission of Position Papers: Delegates are required to bring two physical copies of their position paper to the first session. One copy must be handed to the Chair at the beginning of the committee, while the second copy should be kept by the delegate for personal reference and use during the drafting of resolutions. Failure to submit a position paper may result in ineligibility for committee awards.</w:t>
      </w:r>
    </w:p>
    <w:p w:rsidR="00000000" w:rsidDel="00000000" w:rsidP="00000000" w:rsidRDefault="00000000" w:rsidRPr="00000000" w14:paraId="00000057">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Technology Policy: To ensure an immersive and focused environment, the use of technology (laptops, tablets, or phones) is strictly prohibited during moderated caucuses and formal debate. Technology may only be used during unmoderated caucuses for the purpose of drafting working papers and resolutions, or as otherwise specified by the Chair. Delegates are encouraged to take handwritten notes to track the speaker's list and key arguments.</w:t>
      </w:r>
    </w:p>
    <w:p w:rsidR="00000000" w:rsidDel="00000000" w:rsidP="00000000" w:rsidRDefault="00000000" w:rsidRPr="00000000" w14:paraId="00000058">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Diplomatic Decorum: Maintaining a high standard of decorum is essential to the functioning of the Government of Canada committee. Delegates must:</w:t>
      </w:r>
    </w:p>
    <w:p w:rsidR="00000000" w:rsidDel="00000000" w:rsidP="00000000" w:rsidRDefault="00000000" w:rsidRPr="00000000" w14:paraId="00000059">
      <w:pPr>
        <w:numPr>
          <w:ilvl w:val="0"/>
          <w:numId w:val="12"/>
        </w:numPr>
        <w:spacing w:after="0" w:afterAutospacing="0" w:befor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Address the Chair and other delegates in the third person (e.g., "The Delegate of the Treasury Board believes..." rather than "I believe...").</w:t>
      </w:r>
    </w:p>
    <w:p w:rsidR="00000000" w:rsidDel="00000000" w:rsidP="00000000" w:rsidRDefault="00000000" w:rsidRPr="00000000" w14:paraId="0000005A">
      <w:pPr>
        <w:numPr>
          <w:ilvl w:val="0"/>
          <w:numId w:val="12"/>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Obtain the floor from the Chair before speaking.</w:t>
      </w:r>
    </w:p>
    <w:p w:rsidR="00000000" w:rsidDel="00000000" w:rsidP="00000000" w:rsidRDefault="00000000" w:rsidRPr="00000000" w14:paraId="0000005B">
      <w:pPr>
        <w:numPr>
          <w:ilvl w:val="0"/>
          <w:numId w:val="12"/>
        </w:numPr>
        <w:spacing w:after="24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Refrain from cross-talk or interruptions while another delegate has the floor.</w:t>
      </w:r>
    </w:p>
    <w:p w:rsidR="00000000" w:rsidDel="00000000" w:rsidP="00000000" w:rsidRDefault="00000000" w:rsidRPr="00000000" w14:paraId="0000005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Reminder on Respect: Given the gravity of the topics, specifically systemic discrimination and the housing crisis, the Chair reminds all delegates to maintain the utmost respect for the subject matter and their peers. Disagreement is the heart of debate, but it must be voiced through a lens of professional courtesy. Any language deemed derogatory or contrary to the inclusive spirit of the committee will be ruled out of order.</w:t>
      </w:r>
    </w:p>
    <w:p w:rsidR="00000000" w:rsidDel="00000000" w:rsidP="00000000" w:rsidRDefault="00000000" w:rsidRPr="00000000" w14:paraId="0000005D">
      <w:pPr>
        <w:spacing w:after="200" w:before="20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E">
      <w:pPr>
        <w:spacing w:after="200" w:before="200" w:lineRule="auto"/>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Topic 1: Addressing discrimination in the workplace and promoting diversity in hiring</w:t>
      </w:r>
    </w:p>
    <w:p w:rsidR="00000000" w:rsidDel="00000000" w:rsidP="00000000" w:rsidRDefault="00000000" w:rsidRPr="00000000" w14:paraId="0000005F">
      <w:pPr>
        <w:spacing w:after="200" w:before="200" w:lineRule="auto"/>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60">
      <w:pPr>
        <w:spacing w:after="200" w:before="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Introduction:</w:t>
      </w:r>
      <w:r w:rsidDel="00000000" w:rsidR="00000000" w:rsidRPr="00000000">
        <w:rPr>
          <w:rtl w:val="0"/>
        </w:rPr>
      </w:r>
    </w:p>
    <w:p w:rsidR="00000000" w:rsidDel="00000000" w:rsidP="00000000" w:rsidRDefault="00000000" w:rsidRPr="00000000" w14:paraId="00000061">
      <w:pPr>
        <w:spacing w:after="200" w:before="20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Workplace discrimination in Canada is defined as unequal treatment based on protected characteristics under the Canadian Human Rights Act and the Employment Equity Act (EEA). The current legislative framework focuses on four designated groups: women, Aboriginal peoples, persons with disabilities, and members of visible minorities. However, the Government of Canada recognizes that this 1980s framework requires modernization. Diversity is viewed not merely as a compliance requirement but as an economic driver; estimates suggest that closing the opportunity gap for Indigenous peoples alone could boost Canada’s GDP by $27.7 billion annually (NIEDB 2016). Similarly, studies by the McKinsey Global Institute indicate that Canada’s GDP could be $150 billion higher by 2026 if women’s economic participation matched men’s (McKinsey 2017). Promoting diversity in hiring is therefore not only a human rights issue but also a matter of economic participation and social cohesion. Federal involvement in this area reflects the government’s role as both a major employer and a regulator of labour standards.</w:t>
      </w:r>
    </w:p>
    <w:p w:rsidR="00000000" w:rsidDel="00000000" w:rsidP="00000000" w:rsidRDefault="00000000" w:rsidRPr="00000000" w14:paraId="00000062">
      <w:pPr>
        <w:spacing w:after="200" w:befor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after="200" w:before="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Historical Background:</w:t>
      </w:r>
      <w:r w:rsidDel="00000000" w:rsidR="00000000" w:rsidRPr="00000000">
        <w:rPr>
          <w:rtl w:val="0"/>
        </w:rPr>
      </w:r>
    </w:p>
    <w:p w:rsidR="00000000" w:rsidDel="00000000" w:rsidP="00000000" w:rsidRDefault="00000000" w:rsidRPr="00000000" w14:paraId="00000064">
      <w:pPr>
        <w:spacing w:after="200" w:before="20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Canada’s approach to workplace equity is rooted in the landmark 1984 Abella Commission, which coined the term "employment equity" to describe a proactive model distinct from American "affirmative action." This led to the Employment Equity Act of 1986 (reformed in 1995), which mandated that federally regulated industries identify and remove barriers. While the Canadian Human Rights Act provides a complaints-based mechanism for redress, the EEA was designed to be systemic and preventative. Recently, the government launched the 50-30 Challenge, a voluntary initiative encouraging Canadian organizations to achieve 50% gender parity and 30% representation of under-represented groups on boards and senior management (ISED 2022). More recently, Canada’s Anti-Racism Strategy has sought to address discrimination as a systemic issue shaped by education, access to networks, and historical marginalization (Canadian Heritage 2024).</w:t>
      </w:r>
    </w:p>
    <w:p w:rsidR="00000000" w:rsidDel="00000000" w:rsidP="00000000" w:rsidRDefault="00000000" w:rsidRPr="00000000" w14:paraId="00000065">
      <w:pPr>
        <w:spacing w:after="200" w:before="20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 recently, federal initiatives such as Canada’s Anti-Racism Strategy have sought to address discrimination as a systemic issue extending beyond individual workplaces. These initiatives recognize that employment outcomes are shaped by broader social and institutional factors, including education, access to networks, and historical marginalization.</w:t>
      </w:r>
    </w:p>
    <w:p w:rsidR="00000000" w:rsidDel="00000000" w:rsidP="00000000" w:rsidRDefault="00000000" w:rsidRPr="00000000" w14:paraId="00000066">
      <w:pPr>
        <w:spacing w:after="200" w:before="200" w:lineRule="auto"/>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67">
      <w:pPr>
        <w:spacing w:after="200" w:before="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u w:val="single"/>
          <w:rtl w:val="0"/>
        </w:rPr>
        <w:t xml:space="preserve">Current Situation:</w:t>
      </w:r>
      <w:r w:rsidDel="00000000" w:rsidR="00000000" w:rsidRPr="00000000">
        <w:rPr>
          <w:rtl w:val="0"/>
        </w:rPr>
      </w:r>
    </w:p>
    <w:p w:rsidR="00000000" w:rsidDel="00000000" w:rsidP="00000000" w:rsidRDefault="00000000" w:rsidRPr="00000000" w14:paraId="00000068">
      <w:pPr>
        <w:spacing w:after="200" w:before="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robust laws, systemic barriers persist.</w:t>
      </w:r>
    </w:p>
    <w:p w:rsidR="00000000" w:rsidDel="00000000" w:rsidP="00000000" w:rsidRDefault="00000000" w:rsidRPr="00000000" w14:paraId="00000069">
      <w:pPr>
        <w:numPr>
          <w:ilvl w:val="0"/>
          <w:numId w:val="8"/>
        </w:numPr>
        <w:spacing w:after="200" w:before="2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Racial Discrimination: Statistics Canada data (2023/2024) indicates that 45% of racialized Canadians reported experiencing discrimination in the past five years (StatCan 2025).</w:t>
      </w:r>
    </w:p>
    <w:p w:rsidR="00000000" w:rsidDel="00000000" w:rsidP="00000000" w:rsidRDefault="00000000" w:rsidRPr="00000000" w14:paraId="0000006A">
      <w:pPr>
        <w:numPr>
          <w:ilvl w:val="0"/>
          <w:numId w:val="8"/>
        </w:numPr>
        <w:spacing w:after="200" w:before="2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Indigenous Employment Gap: As of 2023, the employment rate for Indigenous peoples was 58.7% compared to 62.1% for non-Indigenous peoples (ResearchGate 2024).</w:t>
      </w:r>
    </w:p>
    <w:p w:rsidR="00000000" w:rsidDel="00000000" w:rsidP="00000000" w:rsidRDefault="00000000" w:rsidRPr="00000000" w14:paraId="0000006B">
      <w:pPr>
        <w:numPr>
          <w:ilvl w:val="0"/>
          <w:numId w:val="8"/>
        </w:numPr>
        <w:spacing w:after="200" w:before="2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Wage Gap: In 2024, women earned approximately 87 cents for every dollar earned by men (WAGE 2025). This gap widens for racialized women, who can earn as little as 66 cents on the dollar.</w:t>
      </w:r>
    </w:p>
    <w:p w:rsidR="00000000" w:rsidDel="00000000" w:rsidP="00000000" w:rsidRDefault="00000000" w:rsidRPr="00000000" w14:paraId="0000006C">
      <w:pPr>
        <w:numPr>
          <w:ilvl w:val="0"/>
          <w:numId w:val="8"/>
        </w:numPr>
        <w:spacing w:after="200" w:before="2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Legal Pressures: The government is addressing the "Black Class Action" lawsuit alleging systemic stagnation for Black public servants. The Treasury Board has released an Action Plan, investing over $50 million in career development (Open Government 2025).</w:t>
      </w:r>
    </w:p>
    <w:p w:rsidR="00000000" w:rsidDel="00000000" w:rsidP="00000000" w:rsidRDefault="00000000" w:rsidRPr="00000000" w14:paraId="0000006D">
      <w:pPr>
        <w:spacing w:after="200" w:before="20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after="200" w:before="20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Key Issues:</w:t>
      </w:r>
    </w:p>
    <w:p w:rsidR="00000000" w:rsidDel="00000000" w:rsidP="00000000" w:rsidRDefault="00000000" w:rsidRPr="00000000" w14:paraId="0000006F">
      <w:pPr>
        <w:numPr>
          <w:ilvl w:val="0"/>
          <w:numId w:val="7"/>
        </w:numPr>
        <w:spacing w:after="200" w:before="2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Balancing proactive equity measures with merit-based hiring principles, determining the appropriate scope of federal intervention, and assessing the effectiveness of enforcement mechanisms.</w:t>
      </w:r>
    </w:p>
    <w:p w:rsidR="00000000" w:rsidDel="00000000" w:rsidP="00000000" w:rsidRDefault="00000000" w:rsidRPr="00000000" w14:paraId="00000070">
      <w:pPr>
        <w:numPr>
          <w:ilvl w:val="0"/>
          <w:numId w:val="7"/>
        </w:numPr>
        <w:spacing w:after="200" w:before="2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Measuring progress toward employment equity in meaningful ways without reducing outcomes to purely numerical targets</w:t>
      </w:r>
    </w:p>
    <w:p w:rsidR="00000000" w:rsidDel="00000000" w:rsidP="00000000" w:rsidRDefault="00000000" w:rsidRPr="00000000" w14:paraId="00000071">
      <w:pPr>
        <w:numPr>
          <w:ilvl w:val="0"/>
          <w:numId w:val="7"/>
        </w:numPr>
        <w:spacing w:after="200" w:before="2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Addressing the interaction between workplace discrimination and broader socioeconomic inequalities, including links to education, housing stability, and access to support services</w:t>
      </w:r>
    </w:p>
    <w:p w:rsidR="00000000" w:rsidDel="00000000" w:rsidP="00000000" w:rsidRDefault="00000000" w:rsidRPr="00000000" w14:paraId="00000072">
      <w:pPr>
        <w:numPr>
          <w:ilvl w:val="0"/>
          <w:numId w:val="7"/>
        </w:numPr>
        <w:spacing w:after="200" w:before="2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Modernizing the Employment Equity Act, including implementation of the Employment Equity Act Review Task Force’s recommendations to replace the term “Visible Minority” with “Racialized People” and to establish distinct designated groups for Black and 2SLGBTQI+ workers</w:t>
      </w:r>
    </w:p>
    <w:p w:rsidR="00000000" w:rsidDel="00000000" w:rsidP="00000000" w:rsidRDefault="00000000" w:rsidRPr="00000000" w14:paraId="00000073">
      <w:pPr>
        <w:numPr>
          <w:ilvl w:val="0"/>
          <w:numId w:val="7"/>
        </w:numPr>
        <w:spacing w:after="200" w:before="2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Managing risks of AI and algorithmic bias in hiring processes, including how the Artificial Intelligence and Data Act applies to employment practices and the auditing of high-impact systems for fairness</w:t>
      </w:r>
    </w:p>
    <w:p w:rsidR="00000000" w:rsidDel="00000000" w:rsidP="00000000" w:rsidRDefault="00000000" w:rsidRPr="00000000" w14:paraId="00000074">
      <w:pPr>
        <w:numPr>
          <w:ilvl w:val="0"/>
          <w:numId w:val="7"/>
        </w:numPr>
        <w:spacing w:after="200" w:before="2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Navigating jurisdictional limits of federal employment equity policy, given that the act applies to approximately 6 percent of the workforce, and evaluating the use of federal contract compliance mechanisms to extend equity standards into the private sector.</w:t>
      </w:r>
    </w:p>
    <w:p w:rsidR="00000000" w:rsidDel="00000000" w:rsidP="00000000" w:rsidRDefault="00000000" w:rsidRPr="00000000" w14:paraId="00000075">
      <w:pPr>
        <w:spacing w:after="200" w:before="200" w:lineRule="auto"/>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76">
      <w:pPr>
        <w:spacing w:after="200" w:before="20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Questions to Consider</w:t>
      </w:r>
    </w:p>
    <w:p w:rsidR="00000000" w:rsidDel="00000000" w:rsidP="00000000" w:rsidRDefault="00000000" w:rsidRPr="00000000" w14:paraId="00000077">
      <w:pPr>
        <w:numPr>
          <w:ilvl w:val="0"/>
          <w:numId w:val="9"/>
        </w:numPr>
        <w:spacing w:after="200" w:before="2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role should the federal government play in promoting diversity beyond federally regulated sectors?</w:t>
      </w:r>
    </w:p>
    <w:p w:rsidR="00000000" w:rsidDel="00000000" w:rsidP="00000000" w:rsidRDefault="00000000" w:rsidRPr="00000000" w14:paraId="00000078">
      <w:pPr>
        <w:numPr>
          <w:ilvl w:val="0"/>
          <w:numId w:val="9"/>
        </w:numPr>
        <w:spacing w:after="200" w:before="2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can hiring practices remain fair and transparent in the context of increasing automation?</w:t>
      </w:r>
    </w:p>
    <w:p w:rsidR="00000000" w:rsidDel="00000000" w:rsidP="00000000" w:rsidRDefault="00000000" w:rsidRPr="00000000" w14:paraId="00000079">
      <w:pPr>
        <w:numPr>
          <w:ilvl w:val="0"/>
          <w:numId w:val="9"/>
        </w:numPr>
        <w:spacing w:after="200" w:before="2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can the Employment Equity Act be modernized to reflect intersectionality, specifically regarding the separation of "Black" and "Visible Minority" categories?</w:t>
      </w:r>
    </w:p>
    <w:p w:rsidR="00000000" w:rsidDel="00000000" w:rsidP="00000000" w:rsidRDefault="00000000" w:rsidRPr="00000000" w14:paraId="0000007A">
      <w:pPr>
        <w:numPr>
          <w:ilvl w:val="0"/>
          <w:numId w:val="9"/>
        </w:numPr>
        <w:spacing w:after="200" w:before="2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Should the federal government make the 50-30 Challenge mandatory for all companies receiving federal funding or contracts?</w:t>
      </w:r>
    </w:p>
    <w:p w:rsidR="00000000" w:rsidDel="00000000" w:rsidP="00000000" w:rsidRDefault="00000000" w:rsidRPr="00000000" w14:paraId="0000007B">
      <w:pPr>
        <w:numPr>
          <w:ilvl w:val="0"/>
          <w:numId w:val="9"/>
        </w:numPr>
        <w:spacing w:after="200" w:before="2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specific metrics beyond "representation rates" (such as retention rates and promotion velocity) should be used to measure true workplace inclusion?</w:t>
      </w:r>
    </w:p>
    <w:p w:rsidR="00000000" w:rsidDel="00000000" w:rsidP="00000000" w:rsidRDefault="00000000" w:rsidRPr="00000000" w14:paraId="0000007C">
      <w:pPr>
        <w:spacing w:after="200" w:before="20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D">
      <w:pPr>
        <w:spacing w:after="200" w:before="200" w:lineRule="auto"/>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Topic 2: Balancing federal budgets amidst a housing crisis: policy priorities for equity and sustainability</w:t>
      </w:r>
    </w:p>
    <w:p w:rsidR="00000000" w:rsidDel="00000000" w:rsidP="00000000" w:rsidRDefault="00000000" w:rsidRPr="00000000" w14:paraId="0000007E">
      <w:pPr>
        <w:spacing w:after="200" w:before="200" w:lineRule="auto"/>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7F">
      <w:pPr>
        <w:spacing w:after="200" w:before="20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Introduction:</w:t>
      </w:r>
      <w:r w:rsidDel="00000000" w:rsidR="00000000" w:rsidRPr="00000000">
        <w:rPr>
          <w:rFonts w:ascii="Times New Roman" w:cs="Times New Roman" w:eastAsia="Times New Roman" w:hAnsi="Times New Roman"/>
          <w:sz w:val="24"/>
          <w:szCs w:val="24"/>
          <w:u w:val="single"/>
          <w:rtl w:val="0"/>
        </w:rPr>
        <w:t xml:space="preserve"> </w:t>
      </w:r>
    </w:p>
    <w:p w:rsidR="00000000" w:rsidDel="00000000" w:rsidP="00000000" w:rsidRDefault="00000000" w:rsidRPr="00000000" w14:paraId="00000080">
      <w:pPr>
        <w:spacing w:after="200" w:before="20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dual challenge of maintaining fiscal responsibility while addressing a severe housing affordability crisis represents the defining economic dilemma for the Government of Canada in 2025. The federal government faces the difficult task of managing a deficit that has swelled to approximately $42.2 billion for the 2024-25 fiscal year (TD Economics 2025), while simultaneously needing to fund aggressive interventions to solve the housing shortage. The Canada Mortgage and Housing Corporation (CMHC) estimates that Canada requires an additional 3.5 million housing units by 2030—over and above current construction rates—to restore affordability (CMHC 2023). This crisis is not felt equally; it disproportionately affects Indigenous peoples, newcomers, and younger generations, creating a risk of "intergenerational unfairness" where economic stability is increasingly tied to inheritance rather than income (Department of Finance 2024). The government’s policy priority is to use targeted spending, such as the Housing Accelerator Fund and the new Canada Rental Protection Fund, to stimulate supply without fueling inflation or deepening the long-term debt-to-GDP ratio, which currently sits at approximately 41.2% (Department of Finance 2025).</w:t>
      </w:r>
    </w:p>
    <w:p w:rsidR="00000000" w:rsidDel="00000000" w:rsidP="00000000" w:rsidRDefault="00000000" w:rsidRPr="00000000" w14:paraId="00000081">
      <w:pPr>
        <w:spacing w:after="200" w:before="20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2">
      <w:pPr>
        <w:spacing w:after="200" w:before="20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Historical Background</w:t>
      </w:r>
    </w:p>
    <w:p w:rsidR="00000000" w:rsidDel="00000000" w:rsidP="00000000" w:rsidRDefault="00000000" w:rsidRPr="00000000" w14:paraId="00000083">
      <w:pPr>
        <w:spacing w:after="200" w:before="20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current crisis has roots in the federal government’s withdrawal from social housing investment in the 1990s, shifting responsibility to provinces and the private sector (Housing Rights Canada 2024). For nearly three decades, Canada built very little non-market housing, leading to a structural deficit in affordable supply. The federal government re-entered the housing space significantly with the National Housing Strategy (NHS) in 2017, a 10-year, $82+ billion plan aimed at reducing chronic homelessness and core housing need (Infrastructure Canada 2025). Historically, federal housing policy focused on demand-side stimulation, such as mortgage insurance. However, the 2020s marked a pivot toward supply-side intervention. This includes the recent "Public Lands for Homes Plan," which seeks to unlock underused federal properties—such as post offices and armouries—for housing development, signaling a shift from a passive regulator to an active participant in land development (Department of Finance 2024).</w:t>
      </w:r>
    </w:p>
    <w:p w:rsidR="00000000" w:rsidDel="00000000" w:rsidP="00000000" w:rsidRDefault="00000000" w:rsidRPr="00000000" w14:paraId="00000084">
      <w:pPr>
        <w:spacing w:after="200" w:befor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after="200" w:before="200" w:lineRule="auto"/>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86">
      <w:pPr>
        <w:spacing w:after="200" w:before="20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Current Situation</w:t>
      </w:r>
    </w:p>
    <w:p w:rsidR="00000000" w:rsidDel="00000000" w:rsidP="00000000" w:rsidRDefault="00000000" w:rsidRPr="00000000" w14:paraId="00000087">
      <w:pPr>
        <w:spacing w:after="200" w:before="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significant federal investment, the housing market remains strained by high interest rates, labour shortages, and population growth.</w:t>
      </w:r>
    </w:p>
    <w:p w:rsidR="00000000" w:rsidDel="00000000" w:rsidP="00000000" w:rsidRDefault="00000000" w:rsidRPr="00000000" w14:paraId="00000088">
      <w:pPr>
        <w:numPr>
          <w:ilvl w:val="0"/>
          <w:numId w:val="3"/>
        </w:numPr>
        <w:spacing w:after="0" w:afterAutospacing="0" w:before="2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Fiscal Pressures: The 2025 federal budget outlook has deteriorated, with the deficit projected to remain significantly elevated through the five-year horizon. Program expenses are expected to reach 16.5% of GDP in 2025-26, driven by new spending on defence and housing, complicating the government's ability to return to a balanced budget (TD Economics 2025).</w:t>
      </w:r>
    </w:p>
    <w:p w:rsidR="00000000" w:rsidDel="00000000" w:rsidP="00000000" w:rsidRDefault="00000000" w:rsidRPr="00000000" w14:paraId="00000089">
      <w:pPr>
        <w:numPr>
          <w:ilvl w:val="0"/>
          <w:numId w:val="3"/>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Rental Market Tightness: As of late 2025, the national vacancy rate for purpose-built rental apartments rose slightly to 3.1% (up from 2.2% in 2024) due to a surge in new apartment completions (CMHC 2025). However, rents remain historically high, with the average rent for a 2-bedroom unit rising by 5.1% over the last year, continuing to outpace wage growth (CMHC 2025).</w:t>
      </w:r>
    </w:p>
    <w:p w:rsidR="00000000" w:rsidDel="00000000" w:rsidP="00000000" w:rsidRDefault="00000000" w:rsidRPr="00000000" w14:paraId="0000008A">
      <w:pPr>
        <w:numPr>
          <w:ilvl w:val="0"/>
          <w:numId w:val="3"/>
        </w:numPr>
        <w:spacing w:after="0" w:afterAutospacing="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Indigenous Housing Crisis: The gap for Indigenous communities remains critical. The Auditor General’s 2024 report found that despite spending $4 billion over five years, Indigenous Services Canada and the CMHC have made little progress in improving housing conditions, with 80% of identified housing needs still unmet (OAG 2024). The report emphasized that the government has not prioritized communities with the poorest conditions (OAG 2024).</w:t>
      </w:r>
    </w:p>
    <w:p w:rsidR="00000000" w:rsidDel="00000000" w:rsidP="00000000" w:rsidRDefault="00000000" w:rsidRPr="00000000" w14:paraId="0000008B">
      <w:pPr>
        <w:numPr>
          <w:ilvl w:val="0"/>
          <w:numId w:val="3"/>
        </w:numPr>
        <w:spacing w:after="20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"Financialization" of Housing: There is growing concern regarding the role of large corporate investors in the single-family home market. In response, the government launched a consultation in late 2024 to explore measures to restrict the acquisition of existing homes by large corporate entities, aiming to ensure housing remains accessible to families rather than serving primarily as a speculative asset (Department of Finance 2024).</w:t>
      </w:r>
    </w:p>
    <w:p w:rsidR="00000000" w:rsidDel="00000000" w:rsidP="00000000" w:rsidRDefault="00000000" w:rsidRPr="00000000" w14:paraId="0000008C">
      <w:pPr>
        <w:spacing w:after="200" w:befor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after="200" w:before="20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Key Issues:</w:t>
      </w:r>
    </w:p>
    <w:p w:rsidR="00000000" w:rsidDel="00000000" w:rsidP="00000000" w:rsidRDefault="00000000" w:rsidRPr="00000000" w14:paraId="0000008E">
      <w:pPr>
        <w:numPr>
          <w:ilvl w:val="0"/>
          <w:numId w:val="5"/>
        </w:numPr>
        <w:spacing w:after="200" w:before="2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Inflation vs. Stimulus: A central economic debate is whether aggressive federal spending on housing construction (stimulus) will counteract the Bank of Canada’s efforts to control inflation, potentially keeping interest rates higher for longer.</w:t>
      </w:r>
    </w:p>
    <w:p w:rsidR="00000000" w:rsidDel="00000000" w:rsidP="00000000" w:rsidRDefault="00000000" w:rsidRPr="00000000" w14:paraId="0000008F">
      <w:pPr>
        <w:numPr>
          <w:ilvl w:val="0"/>
          <w:numId w:val="5"/>
        </w:numPr>
        <w:spacing w:after="200" w:before="2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Preserving Affordable Stock: The government is implementing the $1.5 billion Canada Rental Protection Fund to help non-profit providers acquire and preserve existing affordable rental buildings before they are sold to private investors, a strategy designed to prevent "renovictions".</w:t>
      </w:r>
    </w:p>
    <w:p w:rsidR="00000000" w:rsidDel="00000000" w:rsidP="00000000" w:rsidRDefault="00000000" w:rsidRPr="00000000" w14:paraId="00000090">
      <w:pPr>
        <w:numPr>
          <w:ilvl w:val="0"/>
          <w:numId w:val="5"/>
        </w:numPr>
        <w:spacing w:after="200" w:before="2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Jurisdictional Friction: Housing is constitutionally a provincial responsibility. The federal use of the Housing Accelerator Fund, which bypasses provinces to provide cash directly to municipalities that update zoning laws, has caused political friction with provincial governments, complicating the rollout of funds.</w:t>
      </w:r>
    </w:p>
    <w:p w:rsidR="00000000" w:rsidDel="00000000" w:rsidP="00000000" w:rsidRDefault="00000000" w:rsidRPr="00000000" w14:paraId="00000091">
      <w:pPr>
        <w:numPr>
          <w:ilvl w:val="0"/>
          <w:numId w:val="5"/>
        </w:numPr>
        <w:spacing w:after="200" w:before="2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Indigenous Self-Determination: There is a pressing need to transfer control of housing funds directly to Indigenous governments. The Assembly of First Nations estimates the cost to close the on-reserve infrastructure and housing gap is significantly higher than current allocations, with 157,453 new homes needed immediately.</w:t>
      </w:r>
    </w:p>
    <w:p w:rsidR="00000000" w:rsidDel="00000000" w:rsidP="00000000" w:rsidRDefault="00000000" w:rsidRPr="00000000" w14:paraId="00000092">
      <w:pPr>
        <w:spacing w:after="200" w:before="200" w:lineRule="auto"/>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93">
      <w:pPr>
        <w:spacing w:after="200" w:before="20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Questions to Consider:</w:t>
      </w:r>
    </w:p>
    <w:p w:rsidR="00000000" w:rsidDel="00000000" w:rsidP="00000000" w:rsidRDefault="00000000" w:rsidRPr="00000000" w14:paraId="00000094">
      <w:pPr>
        <w:numPr>
          <w:ilvl w:val="0"/>
          <w:numId w:val="4"/>
        </w:numPr>
        <w:spacing w:after="200" w:before="2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the current target of keeping the deficit below 1% of GDP compatible with the scale of investment (estimated at billions annually) needed to build 3.5 million new homes?</w:t>
      </w:r>
    </w:p>
    <w:p w:rsidR="00000000" w:rsidDel="00000000" w:rsidP="00000000" w:rsidRDefault="00000000" w:rsidRPr="00000000" w14:paraId="00000095">
      <w:pPr>
        <w:numPr>
          <w:ilvl w:val="0"/>
          <w:numId w:val="4"/>
        </w:numPr>
        <w:spacing w:after="200" w:before="2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can the federal government incentivize the construction of "missing middle" housing without overstepping provincial jurisdiction or alienating provincial partners?</w:t>
      </w:r>
    </w:p>
    <w:p w:rsidR="00000000" w:rsidDel="00000000" w:rsidP="00000000" w:rsidRDefault="00000000" w:rsidRPr="00000000" w14:paraId="00000096">
      <w:pPr>
        <w:numPr>
          <w:ilvl w:val="0"/>
          <w:numId w:val="4"/>
        </w:numPr>
        <w:spacing w:after="200" w:before="2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Should the federal government implement tax measures to discourage the financialization of housing by large corporate investors, and what are the potential economic risks of doing so?</w:t>
      </w:r>
    </w:p>
    <w:p w:rsidR="00000000" w:rsidDel="00000000" w:rsidP="00000000" w:rsidRDefault="00000000" w:rsidRPr="00000000" w14:paraId="00000097">
      <w:pPr>
        <w:numPr>
          <w:ilvl w:val="0"/>
          <w:numId w:val="4"/>
        </w:numPr>
        <w:spacing w:after="200" w:before="2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specific mechanisms can be used to ensure that the Urban, Rural, and Northern Indigenous Housing Strategy grants genuine autonomy to Indigenous governing bodies while ensuring accountability for funds?</w:t>
      </w:r>
    </w:p>
    <w:p w:rsidR="00000000" w:rsidDel="00000000" w:rsidP="00000000" w:rsidRDefault="00000000" w:rsidRPr="00000000" w14:paraId="00000098">
      <w:pPr>
        <w:numPr>
          <w:ilvl w:val="0"/>
          <w:numId w:val="4"/>
        </w:numPr>
        <w:spacing w:after="200" w:before="2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can federal infrastructure spending be better linked to municipal zoning reforms to ensure density is increased near transit hubs?</w:t>
      </w:r>
      <w:r w:rsidDel="00000000" w:rsidR="00000000" w:rsidRPr="00000000">
        <w:br w:type="page"/>
      </w:r>
      <w:r w:rsidDel="00000000" w:rsidR="00000000" w:rsidRPr="00000000">
        <w:rPr>
          <w:rtl w:val="0"/>
        </w:rPr>
      </w:r>
    </w:p>
    <w:p w:rsidR="00000000" w:rsidDel="00000000" w:rsidP="00000000" w:rsidRDefault="00000000" w:rsidRPr="00000000" w14:paraId="00000099">
      <w:pPr>
        <w:spacing w:after="200" w:before="200" w:lineRule="auto"/>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Research Expectations</w:t>
      </w:r>
    </w:p>
    <w:p w:rsidR="00000000" w:rsidDel="00000000" w:rsidP="00000000" w:rsidRDefault="00000000" w:rsidRPr="00000000" w14:paraId="0000009A">
      <w:pPr>
        <w:spacing w:after="200" w:before="200" w:lineRule="auto"/>
        <w:ind w:left="720" w:firstLine="0"/>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9B">
      <w:pPr>
        <w:spacing w:after="200" w:before="20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Delegates are expected to come prepared with a thorough understanding of their assigned character’s portfolio, political mandates, and fiscal priorities within the Government of Canada. When addressing Topic 1 (Workplace Discrimination), research should focus on existing legislative frameworks, the progress of the Employment Equity Act modernization, intersectionality in hiring, and the impact of emerging technologies on human rights. When discussing Topic 2 (Federal Budgets and Housing), delegates should consider the balance between fiscal sustainability and urgent social infrastructure, the jurisdictional nuances between federal and provincial responsibilities, and the specific needs of equity-deserving groups, including Indigenous communities and youth.</w:t>
      </w:r>
    </w:p>
    <w:p w:rsidR="00000000" w:rsidDel="00000000" w:rsidP="00000000" w:rsidRDefault="00000000" w:rsidRPr="00000000" w14:paraId="0000009C">
      <w:pPr>
        <w:spacing w:after="200" w:before="20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begin research, utilize authoritative sources including official government portals, Treasury Board publications, and reports from independent oversight bodies. Key resources include Statistics Canada (</w:t>
      </w:r>
      <w:hyperlink r:id="rId13">
        <w:r w:rsidDel="00000000" w:rsidR="00000000" w:rsidRPr="00000000">
          <w:rPr>
            <w:rFonts w:ascii="Times New Roman" w:cs="Times New Roman" w:eastAsia="Times New Roman" w:hAnsi="Times New Roman"/>
            <w:color w:val="1155cc"/>
            <w:sz w:val="24"/>
            <w:szCs w:val="24"/>
            <w:u w:val="single"/>
            <w:rtl w:val="0"/>
          </w:rPr>
          <w:t xml:space="preserve">https://www.statcan.gc.ca/</w:t>
        </w:r>
      </w:hyperlink>
      <w:r w:rsidDel="00000000" w:rsidR="00000000" w:rsidRPr="00000000">
        <w:rPr>
          <w:rFonts w:ascii="Times New Roman" w:cs="Times New Roman" w:eastAsia="Times New Roman" w:hAnsi="Times New Roman"/>
          <w:sz w:val="24"/>
          <w:szCs w:val="24"/>
          <w:rtl w:val="0"/>
        </w:rPr>
        <w:t xml:space="preserve">), the Office of the Auditor General of Canada (</w:t>
      </w:r>
      <w:hyperlink r:id="rId14">
        <w:r w:rsidDel="00000000" w:rsidR="00000000" w:rsidRPr="00000000">
          <w:rPr>
            <w:rFonts w:ascii="Times New Roman" w:cs="Times New Roman" w:eastAsia="Times New Roman" w:hAnsi="Times New Roman"/>
            <w:color w:val="1155cc"/>
            <w:sz w:val="24"/>
            <w:szCs w:val="24"/>
            <w:u w:val="single"/>
            <w:rtl w:val="0"/>
          </w:rPr>
          <w:t xml:space="preserve">https://www.oag-bvg.gc.ca/</w:t>
        </w:r>
      </w:hyperlink>
      <w:r w:rsidDel="00000000" w:rsidR="00000000" w:rsidRPr="00000000">
        <w:rPr>
          <w:rFonts w:ascii="Times New Roman" w:cs="Times New Roman" w:eastAsia="Times New Roman" w:hAnsi="Times New Roman"/>
          <w:sz w:val="24"/>
          <w:szCs w:val="24"/>
          <w:rtl w:val="0"/>
        </w:rPr>
        <w:t xml:space="preserve">), the Canada Mortgage and Housing Corporation (</w:t>
      </w:r>
      <w:hyperlink r:id="rId15">
        <w:r w:rsidDel="00000000" w:rsidR="00000000" w:rsidRPr="00000000">
          <w:rPr>
            <w:rFonts w:ascii="Times New Roman" w:cs="Times New Roman" w:eastAsia="Times New Roman" w:hAnsi="Times New Roman"/>
            <w:color w:val="1155cc"/>
            <w:sz w:val="24"/>
            <w:szCs w:val="24"/>
            <w:u w:val="single"/>
            <w:rtl w:val="0"/>
          </w:rPr>
          <w:t xml:space="preserve">https://www.cmhc-schl.gc.ca/</w:t>
        </w:r>
      </w:hyperlink>
      <w:r w:rsidDel="00000000" w:rsidR="00000000" w:rsidRPr="00000000">
        <w:rPr>
          <w:rFonts w:ascii="Times New Roman" w:cs="Times New Roman" w:eastAsia="Times New Roman" w:hAnsi="Times New Roman"/>
          <w:sz w:val="24"/>
          <w:szCs w:val="24"/>
          <w:rtl w:val="0"/>
        </w:rPr>
        <w:t xml:space="preserve">), and the Canadian Human Rights Commission (</w:t>
      </w:r>
      <w:hyperlink r:id="rId16">
        <w:r w:rsidDel="00000000" w:rsidR="00000000" w:rsidRPr="00000000">
          <w:rPr>
            <w:rFonts w:ascii="Times New Roman" w:cs="Times New Roman" w:eastAsia="Times New Roman" w:hAnsi="Times New Roman"/>
            <w:color w:val="1155cc"/>
            <w:sz w:val="24"/>
            <w:szCs w:val="24"/>
            <w:u w:val="single"/>
            <w:rtl w:val="0"/>
          </w:rPr>
          <w:t xml:space="preserve">https://www.chrc-ccdp.gc.ca/</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9D">
      <w:pPr>
        <w:spacing w:after="200" w:before="20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researching, delegates should compare their specific department’s goals with broader federal mandates to identify areas for inter-departmental cooperation. It is essential to take note of current budgetary figures, recent legislative amendments, and ongoing legal challenges (such as the Black Class Action) to support arguments. All proposals must be evidence-based, fiscally grounded, and consistent with the Canadian Charter of Rights and Freedoms, existing federal statutes, and the government’s commitment to reconciliation and sustainable growth.</w:t>
      </w:r>
    </w:p>
    <w:p w:rsidR="00000000" w:rsidDel="00000000" w:rsidP="00000000" w:rsidRDefault="00000000" w:rsidRPr="00000000" w14:paraId="0000009E">
      <w:pPr>
        <w:spacing w:after="200" w:before="20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spacing w:after="200" w:before="20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A0">
      <w:pPr>
        <w:spacing w:after="200" w:before="20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A1">
      <w:pPr>
        <w:spacing w:after="200" w:before="20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A2">
      <w:pPr>
        <w:spacing w:after="200" w:before="20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A3">
      <w:pPr>
        <w:spacing w:after="200" w:before="20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A4">
      <w:pPr>
        <w:spacing w:after="200" w:before="20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A5">
      <w:pPr>
        <w:spacing w:after="200" w:before="200" w:lineRule="auto"/>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Connections to the UN Sustainable Development Goals (SDGs)</w:t>
      </w:r>
    </w:p>
    <w:p w:rsidR="00000000" w:rsidDel="00000000" w:rsidP="00000000" w:rsidRDefault="00000000" w:rsidRPr="00000000" w14:paraId="000000A6">
      <w:pPr>
        <w:spacing w:after="200" w:before="200" w:lineRule="auto"/>
        <w:jc w:val="center"/>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A7">
      <w:pPr>
        <w:spacing w:after="200" w:before="20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Goal 8: Decent Work and Economic Growth</w:t>
      </w:r>
    </w:p>
    <w:p w:rsidR="00000000" w:rsidDel="00000000" w:rsidP="00000000" w:rsidRDefault="00000000" w:rsidRPr="00000000" w14:paraId="000000A8">
      <w:pPr>
        <w:spacing w:after="200" w:before="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goal aims to promote sustained, inclusive economic growth and full, productive employment for all.</w:t>
      </w:r>
    </w:p>
    <w:p w:rsidR="00000000" w:rsidDel="00000000" w:rsidP="00000000" w:rsidRDefault="00000000" w:rsidRPr="00000000" w14:paraId="000000A9">
      <w:pPr>
        <w:numPr>
          <w:ilvl w:val="0"/>
          <w:numId w:val="11"/>
        </w:numPr>
        <w:spacing w:after="0" w:afterAutospacing="0" w:before="2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Connection to Topic 1: Addressing workplace discrimination is a prerequisite for "decent work." By modernizing the Employment Equity Act and removing systemic barriers for Indigenous peoples, Black Canadians, and other racialized groups, Canada directly contributes to Target 8.5, which strives for full employment and equal pay for work of equal value.</w:t>
      </w:r>
    </w:p>
    <w:p w:rsidR="00000000" w:rsidDel="00000000" w:rsidP="00000000" w:rsidRDefault="00000000" w:rsidRPr="00000000" w14:paraId="000000AA">
      <w:pPr>
        <w:numPr>
          <w:ilvl w:val="0"/>
          <w:numId w:val="11"/>
        </w:numPr>
        <w:spacing w:after="20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Connection to Topic 2: The federal budget must prioritize sustainable economic growth. Ensuring that all Canadians have access to the labor market regardless of their background ensures a more resilient economy and reduces the fiscal burden on social safety nets.</w:t>
      </w:r>
    </w:p>
    <w:p w:rsidR="00000000" w:rsidDel="00000000" w:rsidP="00000000" w:rsidRDefault="00000000" w:rsidRPr="00000000" w14:paraId="000000AB">
      <w:pPr>
        <w:spacing w:after="200" w:befor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C">
      <w:pPr>
        <w:spacing w:after="200" w:before="20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Goal 11: Sustainable Cities and Communities</w:t>
      </w:r>
    </w:p>
    <w:p w:rsidR="00000000" w:rsidDel="00000000" w:rsidP="00000000" w:rsidRDefault="00000000" w:rsidRPr="00000000" w14:paraId="000000AD">
      <w:pPr>
        <w:spacing w:after="200" w:before="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goal focuses on making human settlements inclusive, safe, resilient, and sustainable.</w:t>
      </w:r>
    </w:p>
    <w:p w:rsidR="00000000" w:rsidDel="00000000" w:rsidP="00000000" w:rsidRDefault="00000000" w:rsidRPr="00000000" w14:paraId="000000AE">
      <w:pPr>
        <w:numPr>
          <w:ilvl w:val="0"/>
          <w:numId w:val="16"/>
        </w:numPr>
        <w:spacing w:after="0" w:afterAutospacing="0" w:before="2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Connection to Topic 2: Access to safe and affordable housing is the primary target of this goal. The committee’s discussion on federal housing policy and the "Housing Gap" for First Nations communities is central to achieving this. A city cannot be "sustainable" if a significant portion of its population is in core housing need or facing homelessness.</w:t>
      </w:r>
    </w:p>
    <w:p w:rsidR="00000000" w:rsidDel="00000000" w:rsidP="00000000" w:rsidRDefault="00000000" w:rsidRPr="00000000" w14:paraId="000000AF">
      <w:pPr>
        <w:numPr>
          <w:ilvl w:val="0"/>
          <w:numId w:val="1"/>
        </w:numPr>
        <w:spacing w:after="200" w:before="0" w:beforeAutospacing="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Connection to Topic 1: Inclusivity in cities also means workplaces and public services are free from discrimination. Creating urban environments where equity-deserving groups can live and work safely is essential for the "social sustainability" of Canadian communities.</w:t>
      </w:r>
    </w:p>
    <w:p w:rsidR="00000000" w:rsidDel="00000000" w:rsidP="00000000" w:rsidRDefault="00000000" w:rsidRPr="00000000" w14:paraId="000000B0">
      <w:pPr>
        <w:spacing w:after="200" w:befor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spacing w:after="200" w:before="200" w:lineRule="auto"/>
        <w:rPr>
          <w:rFonts w:ascii="Times New Roman" w:cs="Times New Roman" w:eastAsia="Times New Roman" w:hAnsi="Times New Roman"/>
          <w:b w:val="1"/>
          <w:bCs w:val="1"/>
          <w:sz w:val="24"/>
          <w:szCs w:val="24"/>
          <w:u w:val="single"/>
        </w:rPr>
      </w:pPr>
      <w:r w:rsidDel="00000000" w:rsidR="00000000" w:rsidRPr="00000000">
        <w:rPr>
          <w:rtl w:val="0"/>
        </w:rPr>
      </w:r>
    </w:p>
    <w:p w:rsidR="00000000" w:rsidDel="00000000" w:rsidP="00000000" w:rsidRDefault="00000000" w:rsidRPr="00000000" w14:paraId="000000B2">
      <w:pPr>
        <w:spacing w:after="200" w:before="200" w:lineRule="auto"/>
        <w:jc w:val="center"/>
        <w:rPr>
          <w:rFonts w:ascii="Times New Roman" w:cs="Times New Roman" w:eastAsia="Times New Roman" w:hAnsi="Times New Roman"/>
          <w:b w:val="1"/>
          <w:bCs w:val="1"/>
          <w:sz w:val="24"/>
          <w:szCs w:val="24"/>
          <w:u w:val="single"/>
        </w:rPr>
      </w:pPr>
      <w:r w:rsidDel="00000000" w:rsidR="00000000" w:rsidRPr="00000000">
        <w:br w:type="page"/>
      </w:r>
      <w:r w:rsidDel="00000000" w:rsidR="00000000" w:rsidRPr="00000000">
        <w:rPr>
          <w:rtl w:val="0"/>
        </w:rPr>
      </w:r>
    </w:p>
    <w:p w:rsidR="00000000" w:rsidDel="00000000" w:rsidP="00000000" w:rsidRDefault="00000000" w:rsidRPr="00000000" w14:paraId="000000B3">
      <w:pPr>
        <w:spacing w:after="200" w:before="200" w:lineRule="auto"/>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Bibliography</w:t>
      </w:r>
    </w:p>
    <w:p w:rsidR="00000000" w:rsidDel="00000000" w:rsidP="00000000" w:rsidRDefault="00000000" w:rsidRPr="00000000" w14:paraId="000000B4">
      <w:pPr>
        <w:spacing w:after="200" w:befor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spacing w:after="200" w:before="20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Assembly of First Nations. "The Housing Gap." Assembly of First Nations, 6 Mar. 2025, </w:t>
      </w:r>
      <w:hyperlink r:id="rId17">
        <w:r w:rsidDel="00000000" w:rsidR="00000000" w:rsidRPr="00000000">
          <w:rPr>
            <w:rFonts w:ascii="Times New Roman" w:cs="Times New Roman" w:eastAsia="Times New Roman" w:hAnsi="Times New Roman"/>
            <w:color w:val="1155cc"/>
            <w:sz w:val="24"/>
            <w:szCs w:val="24"/>
            <w:u w:val="single"/>
            <w:rtl w:val="0"/>
          </w:rPr>
          <w:t xml:space="preserve">https://afn.ca/economy-infrastructure/infrastructure/closing-the-infrastructure-gap/housing/</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6">
      <w:pPr>
        <w:spacing w:after="200" w:before="20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Canada Mortgage and Housing Corporation. "2025 Rental Market Report." Canada Mortgage and Housing Corporation, 11 Dec. 2025, </w:t>
      </w:r>
      <w:hyperlink r:id="rId18">
        <w:r w:rsidDel="00000000" w:rsidR="00000000" w:rsidRPr="00000000">
          <w:rPr>
            <w:rFonts w:ascii="Times New Roman" w:cs="Times New Roman" w:eastAsia="Times New Roman" w:hAnsi="Times New Roman"/>
            <w:color w:val="1155cc"/>
            <w:sz w:val="24"/>
            <w:szCs w:val="24"/>
            <w:u w:val="single"/>
            <w:rtl w:val="0"/>
          </w:rPr>
          <w:t xml:space="preserve">https://www.cmhc-schl.gc.ca/professionals/housing-markets-data-and-research/market-reports/rental-market-reports-major-centres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7">
      <w:pPr>
        <w:spacing w:after="200" w:before="20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Canada Mortgage and Housing Corporation. "Housing shortages in Canada: Updating how much housing we need by 2030." CMHC, 13 Sept. 2023, </w:t>
      </w:r>
      <w:hyperlink r:id="rId19">
        <w:r w:rsidDel="00000000" w:rsidR="00000000" w:rsidRPr="00000000">
          <w:rPr>
            <w:rFonts w:ascii="Times New Roman" w:cs="Times New Roman" w:eastAsia="Times New Roman" w:hAnsi="Times New Roman"/>
            <w:color w:val="1155cc"/>
            <w:sz w:val="24"/>
            <w:szCs w:val="24"/>
            <w:u w:val="single"/>
            <w:rtl w:val="0"/>
          </w:rPr>
          <w:t xml:space="preserve">https://www.cmhc-schl.gc.ca/en/professionals/housing-markets-data-and-research/housing-research/research-reports/2023/housing-shortages-canada-updating-how-much-we-need-by-2030-en</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8">
      <w:pPr>
        <w:spacing w:after="200" w:before="20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Canadian Heritage. "Changing Systems, Transforming Lives: Canada's Anti-Racism Strategy 2024–2028." Government of Canada, 8 June 2024, </w:t>
      </w:r>
      <w:hyperlink r:id="rId20">
        <w:r w:rsidDel="00000000" w:rsidR="00000000" w:rsidRPr="00000000">
          <w:rPr>
            <w:rFonts w:ascii="Times New Roman" w:cs="Times New Roman" w:eastAsia="Times New Roman" w:hAnsi="Times New Roman"/>
            <w:color w:val="1155cc"/>
            <w:sz w:val="24"/>
            <w:szCs w:val="24"/>
            <w:u w:val="single"/>
            <w:rtl w:val="0"/>
          </w:rPr>
          <w:t xml:space="preserve">https://www.canada.ca/en/canadian-heritage/services/combatting-racism-discrimination/canada-anti-racism-strategy.html</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9">
      <w:pPr>
        <w:spacing w:after="200" w:before="20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Cavalluzzo LLP. "Employment Equity Act Task Force Report." Cavalluzzo Strategic Communications, 25 Jan. 2024, </w:t>
      </w:r>
      <w:hyperlink r:id="rId21">
        <w:r w:rsidDel="00000000" w:rsidR="00000000" w:rsidRPr="00000000">
          <w:rPr>
            <w:rFonts w:ascii="Times New Roman" w:cs="Times New Roman" w:eastAsia="Times New Roman" w:hAnsi="Times New Roman"/>
            <w:color w:val="1155cc"/>
            <w:sz w:val="24"/>
            <w:szCs w:val="24"/>
            <w:u w:val="single"/>
            <w:rtl w:val="0"/>
          </w:rPr>
          <w:t xml:space="preserve">https://www.cavalluzzo.com/resources/blog/post/item/em-employment-equity-act-em-task-force-report</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A">
      <w:pPr>
        <w:spacing w:after="200" w:before="20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City of Port Coquitlam. "Housing Accelerator Fund Overview - Action Plan (2024-2026)." City of Port Coquitlam, 12 Nov. 2025, </w:t>
      </w:r>
      <w:hyperlink r:id="rId22">
        <w:r w:rsidDel="00000000" w:rsidR="00000000" w:rsidRPr="00000000">
          <w:rPr>
            <w:rFonts w:ascii="Times New Roman" w:cs="Times New Roman" w:eastAsia="Times New Roman" w:hAnsi="Times New Roman"/>
            <w:color w:val="1155cc"/>
            <w:sz w:val="24"/>
            <w:szCs w:val="24"/>
            <w:u w:val="single"/>
            <w:rtl w:val="0"/>
          </w:rPr>
          <w:t xml:space="preserve">https://pub-portcoquitlam.escribemeetings.com/filestream.ashx?DocumentId=12589</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B">
      <w:pPr>
        <w:spacing w:after="200" w:before="20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of Finance Canada. "Budget 2024: Fairness for Every Generation." Government of Canada, 16 Apr. 2024, </w:t>
      </w:r>
      <w:hyperlink r:id="rId23">
        <w:r w:rsidDel="00000000" w:rsidR="00000000" w:rsidRPr="00000000">
          <w:rPr>
            <w:rFonts w:ascii="Times New Roman" w:cs="Times New Roman" w:eastAsia="Times New Roman" w:hAnsi="Times New Roman"/>
            <w:color w:val="1155cc"/>
            <w:sz w:val="24"/>
            <w:szCs w:val="24"/>
            <w:u w:val="single"/>
            <w:rtl w:val="0"/>
          </w:rPr>
          <w:t xml:space="preserve">https://budget.canada.ca/2024/home-accueil-en.html</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C">
      <w:pPr>
        <w:spacing w:after="200" w:before="20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Department of Finance Canada. "Consultation on Confronting the Financialization of Housing." Government of Canada, 27 Dec. 2024, </w:t>
      </w:r>
      <w:hyperlink r:id="rId24">
        <w:r w:rsidDel="00000000" w:rsidR="00000000" w:rsidRPr="00000000">
          <w:rPr>
            <w:rFonts w:ascii="Times New Roman" w:cs="Times New Roman" w:eastAsia="Times New Roman" w:hAnsi="Times New Roman"/>
            <w:color w:val="1155cc"/>
            <w:sz w:val="24"/>
            <w:szCs w:val="24"/>
            <w:u w:val="single"/>
            <w:rtl w:val="0"/>
          </w:rPr>
          <w:t xml:space="preserve">https://www.canada.ca/en/department-finance/programs/consultations/2024/consultation-on-confronting-financialization-housing.html</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D">
      <w:pPr>
        <w:spacing w:after="200" w:before="20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Hicks Morley. "Employment Equity Act Task Force Releases Final Report." Hicks Morley Resources, 14 Dec. 2023, </w:t>
      </w:r>
      <w:hyperlink r:id="rId25">
        <w:r w:rsidDel="00000000" w:rsidR="00000000" w:rsidRPr="00000000">
          <w:rPr>
            <w:rFonts w:ascii="Times New Roman" w:cs="Times New Roman" w:eastAsia="Times New Roman" w:hAnsi="Times New Roman"/>
            <w:color w:val="1155cc"/>
            <w:sz w:val="24"/>
            <w:szCs w:val="24"/>
            <w:u w:val="single"/>
            <w:rtl w:val="0"/>
          </w:rPr>
          <w:t xml:space="preserve">https://hicksmorley.com/2023/12/14/employment-equity-act-task-force-releases-final-report/</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E">
      <w:pPr>
        <w:spacing w:after="200" w:before="20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Housing Rights Canada. "Housing policy news: December 2024." Housing Rights Canada, 24 Jan. 2025, </w:t>
      </w:r>
      <w:hyperlink r:id="rId26">
        <w:r w:rsidDel="00000000" w:rsidR="00000000" w:rsidRPr="00000000">
          <w:rPr>
            <w:rFonts w:ascii="Times New Roman" w:cs="Times New Roman" w:eastAsia="Times New Roman" w:hAnsi="Times New Roman"/>
            <w:color w:val="1155cc"/>
            <w:sz w:val="24"/>
            <w:szCs w:val="24"/>
            <w:u w:val="single"/>
            <w:rtl w:val="0"/>
          </w:rPr>
          <w:t xml:space="preserve">https://housingrightscanada.com/housing-policy-news-december-2024/</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F">
      <w:pPr>
        <w:spacing w:after="200" w:before="20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Infrastructure Canada. "Progress on the National Housing Strategy." Government of Canada, 20 Nov. 2025, </w:t>
      </w:r>
      <w:hyperlink r:id="rId27">
        <w:r w:rsidDel="00000000" w:rsidR="00000000" w:rsidRPr="00000000">
          <w:rPr>
            <w:rFonts w:ascii="Times New Roman" w:cs="Times New Roman" w:eastAsia="Times New Roman" w:hAnsi="Times New Roman"/>
            <w:color w:val="1155cc"/>
            <w:sz w:val="24"/>
            <w:szCs w:val="24"/>
            <w:u w:val="single"/>
            <w:rtl w:val="0"/>
          </w:rPr>
          <w:t xml:space="preserve">https://housing-infrastructure.canada.ca/housing-logement/ptch-csd/nhs-progress-progres-snl-eng.html</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0">
      <w:pPr>
        <w:spacing w:after="200" w:before="20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Innovation, Science and Economic Development Canada. "The 50 – 30 Challenge." Government of Canada, 2022, </w:t>
      </w:r>
      <w:hyperlink r:id="rId28">
        <w:r w:rsidDel="00000000" w:rsidR="00000000" w:rsidRPr="00000000">
          <w:rPr>
            <w:rFonts w:ascii="Times New Roman" w:cs="Times New Roman" w:eastAsia="Times New Roman" w:hAnsi="Times New Roman"/>
            <w:color w:val="1155cc"/>
            <w:sz w:val="24"/>
            <w:szCs w:val="24"/>
            <w:u w:val="single"/>
            <w:rtl w:val="0"/>
          </w:rPr>
          <w:t xml:space="preserve">https://ised-isde.canada.ca/site/ised/sites/default/files/attachments/2022/50-30_Challenge_Prospectus-November_2020-V5.pdf</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1">
      <w:pPr>
        <w:spacing w:after="200" w:before="20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Innovation, Science and Economic Development Canada. "The Artificial Intelligence and Data Act (AIDA) – Companion document." Government of Canada, 10 Dec. 2025, </w:t>
      </w:r>
      <w:hyperlink r:id="rId29">
        <w:r w:rsidDel="00000000" w:rsidR="00000000" w:rsidRPr="00000000">
          <w:rPr>
            <w:rFonts w:ascii="Times New Roman" w:cs="Times New Roman" w:eastAsia="Times New Roman" w:hAnsi="Times New Roman"/>
            <w:color w:val="1155cc"/>
            <w:sz w:val="24"/>
            <w:szCs w:val="24"/>
            <w:u w:val="single"/>
            <w:rtl w:val="0"/>
          </w:rPr>
          <w:t xml:space="preserve">https://ised-isde.canada.ca/site/innovation-better-canada/en/artificial-intelligence-and-data-act-aida-companion-document</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2">
      <w:pPr>
        <w:spacing w:after="200" w:before="20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National Indigenous Economic Development Board. "National Reconciliation: The $27.7 Billion Argument for Ending Economic Marginalization." NIEDB, 2016, </w:t>
      </w:r>
      <w:hyperlink r:id="rId30">
        <w:r w:rsidDel="00000000" w:rsidR="00000000" w:rsidRPr="00000000">
          <w:rPr>
            <w:rFonts w:ascii="Times New Roman" w:cs="Times New Roman" w:eastAsia="Times New Roman" w:hAnsi="Times New Roman"/>
            <w:color w:val="1155cc"/>
            <w:sz w:val="24"/>
            <w:szCs w:val="24"/>
            <w:u w:val="single"/>
            <w:rtl w:val="0"/>
          </w:rPr>
          <w:t xml:space="preserve">https://www.niedb-cndea.ca/latest-news/national-reconciliation-the-27-7-billion-argument-for-ending-economic-marginalization/</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3">
      <w:pPr>
        <w:spacing w:after="200" w:before="20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Office of the Auditor General of Canada. "Housing in First Nations Communities." OAG, 11 Apr. 2024, </w:t>
      </w:r>
      <w:hyperlink r:id="rId31">
        <w:r w:rsidDel="00000000" w:rsidR="00000000" w:rsidRPr="00000000">
          <w:rPr>
            <w:rFonts w:ascii="Times New Roman" w:cs="Times New Roman" w:eastAsia="Times New Roman" w:hAnsi="Times New Roman"/>
            <w:color w:val="1155cc"/>
            <w:sz w:val="24"/>
            <w:szCs w:val="24"/>
            <w:u w:val="single"/>
            <w:rtl w:val="0"/>
          </w:rPr>
          <w:t xml:space="preserve">https://www.oag-bvg.gc.ca/internet/English/osh_20240411_e_44480.html</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4">
      <w:pPr>
        <w:spacing w:after="200" w:before="20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Open Government Portal. "Question Period Note: Thompson Class Action." Treasury Board of Canada Secretariat, April 2025, </w:t>
      </w:r>
      <w:hyperlink r:id="rId32">
        <w:r w:rsidDel="00000000" w:rsidR="00000000" w:rsidRPr="00000000">
          <w:rPr>
            <w:rFonts w:ascii="Times New Roman" w:cs="Times New Roman" w:eastAsia="Times New Roman" w:hAnsi="Times New Roman"/>
            <w:color w:val="1155cc"/>
            <w:sz w:val="24"/>
            <w:szCs w:val="24"/>
            <w:u w:val="single"/>
            <w:rtl w:val="0"/>
          </w:rPr>
          <w:t xml:space="preserve">https://search.open.canada.ca/qpnotes/record/tbs-sct%2CTBS-2025-QP-06-00011</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5">
      <w:pPr>
        <w:spacing w:after="200" w:before="20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Statistics Canada. "The Daily — Study: The role of social connections in mitigating the harms associated with discrimination, 2023/2024." Statistics Canada, 9 July 2025, </w:t>
      </w:r>
      <w:hyperlink r:id="rId33">
        <w:r w:rsidDel="00000000" w:rsidR="00000000" w:rsidRPr="00000000">
          <w:rPr>
            <w:rFonts w:ascii="Times New Roman" w:cs="Times New Roman" w:eastAsia="Times New Roman" w:hAnsi="Times New Roman"/>
            <w:color w:val="1155cc"/>
            <w:sz w:val="24"/>
            <w:szCs w:val="24"/>
            <w:u w:val="single"/>
            <w:rtl w:val="0"/>
          </w:rPr>
          <w:t xml:space="preserve">https://www150.statcan.gc.ca/n1/daily-quotidien/250709/dq250709a-eng.htm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6">
      <w:pPr>
        <w:spacing w:after="200" w:before="20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Statistics Canada. "Labour force characteristics by detailed Indigenous group living off reserve." Statistics Canada, 7 Dec. 2025, </w:t>
      </w:r>
      <w:hyperlink r:id="rId34">
        <w:r w:rsidDel="00000000" w:rsidR="00000000" w:rsidRPr="00000000">
          <w:rPr>
            <w:rFonts w:ascii="Times New Roman" w:cs="Times New Roman" w:eastAsia="Times New Roman" w:hAnsi="Times New Roman"/>
            <w:color w:val="1155cc"/>
            <w:sz w:val="24"/>
            <w:szCs w:val="24"/>
            <w:u w:val="single"/>
            <w:rtl w:val="0"/>
          </w:rPr>
          <w:t xml:space="preserve">https://www150.statcan.gc.ca/t1/tbl1/en/tv.action?pid=1410040101</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7">
      <w:pPr>
        <w:spacing w:after="200" w:before="20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TD Economics. "Federal Budget 2025 – Competitiveness focused, but few surprises." TD Bank Group, 18 Dec. 2025, </w:t>
      </w:r>
      <w:hyperlink r:id="rId35">
        <w:r w:rsidDel="00000000" w:rsidR="00000000" w:rsidRPr="00000000">
          <w:rPr>
            <w:rFonts w:ascii="Times New Roman" w:cs="Times New Roman" w:eastAsia="Times New Roman" w:hAnsi="Times New Roman"/>
            <w:color w:val="1155cc"/>
            <w:sz w:val="24"/>
            <w:szCs w:val="24"/>
            <w:u w:val="single"/>
            <w:rtl w:val="0"/>
          </w:rPr>
          <w:t xml:space="preserve">https://economics.td.com/canadian-federal-budget</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8">
      <w:pPr>
        <w:spacing w:after="200" w:before="20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Town and Country Today. "Confidence in government crashes as Canadians feel left behind, survey reveals." Town and Country Today, Beyond Local, 7 July 2024, </w:t>
      </w:r>
      <w:hyperlink r:id="rId36">
        <w:r w:rsidDel="00000000" w:rsidR="00000000" w:rsidRPr="00000000">
          <w:rPr>
            <w:rFonts w:ascii="Times New Roman" w:cs="Times New Roman" w:eastAsia="Times New Roman" w:hAnsi="Times New Roman"/>
            <w:color w:val="1155cc"/>
            <w:sz w:val="24"/>
            <w:szCs w:val="24"/>
            <w:u w:val="single"/>
            <w:rtl w:val="0"/>
          </w:rPr>
          <w:t xml:space="preserve">https://www.townandcountrytoday.com/beyond-local/confidence-in-government-crashes-as-canadians-feel-left-behind-survey-reveals-9186277</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9">
      <w:pPr>
        <w:spacing w:after="200" w:before="200" w:lineRule="auto"/>
        <w:ind w:left="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Women and Gender Equality Canada. "Equality in Action explainers: Women in the economy." Government of Canada, 17 Sept. 2025, </w:t>
      </w:r>
      <w:hyperlink r:id="rId37">
        <w:r w:rsidDel="00000000" w:rsidR="00000000" w:rsidRPr="00000000">
          <w:rPr>
            <w:rFonts w:ascii="Times New Roman" w:cs="Times New Roman" w:eastAsia="Times New Roman" w:hAnsi="Times New Roman"/>
            <w:color w:val="1155cc"/>
            <w:sz w:val="24"/>
            <w:szCs w:val="24"/>
            <w:u w:val="single"/>
            <w:rtl w:val="0"/>
          </w:rPr>
          <w:t xml:space="preserve">https://www.canada.ca/en/women-gender-equality/funding/equality-action/women-economy.html</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A">
      <w:pPr>
        <w:spacing w:after="200" w:before="200" w:lineRule="auto"/>
        <w:ind w:left="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after="200" w:before="20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after="200" w:before="200" w:lineRule="auto"/>
        <w:rPr>
          <w:rFonts w:ascii="Times New Roman" w:cs="Times New Roman" w:eastAsia="Times New Roman" w:hAnsi="Times New Roman"/>
          <w:sz w:val="24"/>
          <w:szCs w:val="24"/>
        </w:rPr>
        <w:sectPr>
          <w:footerReference r:id="rId38" w:type="default"/>
          <w:type w:val="nextPage"/>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CD">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sectPr>
          <w:footerReference r:id="rId39" w:type="default"/>
          <w:type w:val="nextPage"/>
          <w:pgSz w:h="15840" w:w="12240" w:orient="portrait"/>
          <w:pgMar w:bottom="1440" w:top="1440" w:left="1440" w:right="1440" w:header="720" w:footer="720"/>
          <w:pgNumType w:start="1"/>
        </w:sectPr>
      </w:pPr>
      <w:bookmarkStart w:colFirst="0" w:colLast="0" w:name="_jjaa82165815" w:id="3"/>
      <w:bookmarkEnd w:id="3"/>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Revised Delegate List</w:t>
      </w:r>
      <w:r w:rsidDel="00000000" w:rsidR="00000000" w:rsidRPr="00000000">
        <w:rPr>
          <w:rtl w:val="0"/>
        </w:rPr>
      </w:r>
    </w:p>
    <w:p w:rsidR="00000000" w:rsidDel="00000000" w:rsidP="00000000" w:rsidRDefault="00000000" w:rsidRPr="00000000" w14:paraId="000000CE">
      <w:pPr>
        <w:spacing w:line="360" w:lineRule="auto"/>
        <w:jc w:val="center"/>
        <w:rPr>
          <w:rFonts w:ascii="Times New Roman" w:cs="Times New Roman" w:eastAsia="Times New Roman" w:hAnsi="Times New Roman"/>
          <w:sz w:val="66"/>
          <w:szCs w:val="66"/>
        </w:rPr>
      </w:pPr>
      <w:r w:rsidDel="00000000" w:rsidR="00000000" w:rsidRPr="00000000">
        <w:rPr>
          <w:rFonts w:ascii="Times New Roman" w:cs="Times New Roman" w:eastAsia="Times New Roman" w:hAnsi="Times New Roman"/>
          <w:sz w:val="66"/>
          <w:szCs w:val="66"/>
          <w:rtl w:val="0"/>
        </w:rPr>
        <w:t xml:space="preserve">King’sMUN 2026</w:t>
      </w:r>
    </w:p>
    <w:p w:rsidR="00000000" w:rsidDel="00000000" w:rsidP="00000000" w:rsidRDefault="00000000" w:rsidRPr="00000000" w14:paraId="000000CF">
      <w:pPr>
        <w:spacing w:line="360" w:lineRule="auto"/>
        <w:jc w:val="center"/>
        <w:rPr>
          <w:rFonts w:ascii="Times New Roman" w:cs="Times New Roman" w:eastAsia="Times New Roman" w:hAnsi="Times New Roman"/>
          <w:sz w:val="50"/>
          <w:szCs w:val="50"/>
        </w:rPr>
      </w:pPr>
      <w:r w:rsidDel="00000000" w:rsidR="00000000" w:rsidRPr="00000000">
        <w:rPr>
          <w:rFonts w:ascii="Times New Roman" w:cs="Times New Roman" w:eastAsia="Times New Roman" w:hAnsi="Times New Roman"/>
          <w:sz w:val="66"/>
          <w:szCs w:val="66"/>
          <w:rtl w:val="0"/>
        </w:rPr>
        <w:t xml:space="preserve">Government of Canada</w:t>
      </w:r>
      <w:r w:rsidDel="00000000" w:rsidR="00000000" w:rsidRPr="00000000">
        <w:rPr>
          <w:rtl w:val="0"/>
        </w:rPr>
      </w:r>
    </w:p>
    <w:p w:rsidR="00000000" w:rsidDel="00000000" w:rsidP="00000000" w:rsidRDefault="00000000" w:rsidRPr="00000000" w14:paraId="000000D0">
      <w:pPr>
        <w:spacing w:line="360" w:lineRule="auto"/>
        <w:jc w:val="center"/>
        <w:rPr>
          <w:rFonts w:ascii="Times New Roman" w:cs="Times New Roman" w:eastAsia="Times New Roman" w:hAnsi="Times New Roman"/>
          <w:sz w:val="50"/>
          <w:szCs w:val="50"/>
        </w:rPr>
      </w:pPr>
      <w:r w:rsidDel="00000000" w:rsidR="00000000" w:rsidRPr="00000000">
        <w:rPr>
          <w:rFonts w:ascii="Times New Roman" w:cs="Times New Roman" w:eastAsia="Times New Roman" w:hAnsi="Times New Roman"/>
          <w:sz w:val="50"/>
          <w:szCs w:val="50"/>
          <w:rtl w:val="0"/>
        </w:rPr>
        <w:t xml:space="preserve">Delegate List</w:t>
      </w:r>
    </w:p>
    <w:p w:rsidR="00000000" w:rsidDel="00000000" w:rsidP="00000000" w:rsidRDefault="00000000" w:rsidRPr="00000000" w14:paraId="000000D1">
      <w:pPr>
        <w:spacing w:line="360" w:lineRule="auto"/>
        <w:jc w:val="center"/>
        <w:rPr>
          <w:rFonts w:ascii="Times New Roman" w:cs="Times New Roman" w:eastAsia="Times New Roman" w:hAnsi="Times New Roman"/>
          <w:sz w:val="50"/>
          <w:szCs w:val="50"/>
        </w:rPr>
      </w:pPr>
      <w:r w:rsidDel="00000000" w:rsidR="00000000" w:rsidRPr="00000000">
        <w:rPr>
          <w:rFonts w:ascii="Times New Roman" w:cs="Times New Roman" w:eastAsia="Times New Roman" w:hAnsi="Times New Roman"/>
          <w:sz w:val="50"/>
          <w:szCs w:val="50"/>
          <w:rtl w:val="0"/>
        </w:rPr>
        <w:t xml:space="preserve">Youssef Atalleh and Daniel Irumhekha</w:t>
      </w:r>
    </w:p>
    <w:p w:rsidR="00000000" w:rsidDel="00000000" w:rsidP="00000000" w:rsidRDefault="00000000" w:rsidRPr="00000000" w14:paraId="000000D2">
      <w:pPr>
        <w:spacing w:line="360" w:lineRule="auto"/>
        <w:jc w:val="center"/>
        <w:rPr>
          <w:rFonts w:ascii="Times New Roman" w:cs="Times New Roman" w:eastAsia="Times New Roman" w:hAnsi="Times New Roman"/>
          <w:sz w:val="50"/>
          <w:szCs w:val="50"/>
        </w:rPr>
      </w:pPr>
      <w:r w:rsidDel="00000000" w:rsidR="00000000" w:rsidRPr="00000000">
        <w:rPr>
          <w:rtl w:val="0"/>
        </w:rPr>
      </w:r>
    </w:p>
    <w:p w:rsidR="00000000" w:rsidDel="00000000" w:rsidP="00000000" w:rsidRDefault="00000000" w:rsidRPr="00000000" w14:paraId="000000D3">
      <w:pPr>
        <w:spacing w:line="360" w:lineRule="auto"/>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Topic 1: Addressing discrimination in the workplace and promoting diversity in hiring</w:t>
      </w:r>
    </w:p>
    <w:p w:rsidR="00000000" w:rsidDel="00000000" w:rsidP="00000000" w:rsidRDefault="00000000" w:rsidRPr="00000000" w14:paraId="000000D4">
      <w:pPr>
        <w:spacing w:line="360" w:lineRule="auto"/>
        <w:jc w:val="center"/>
        <w:rPr>
          <w:rFonts w:ascii="Times New Roman" w:cs="Times New Roman" w:eastAsia="Times New Roman" w:hAnsi="Times New Roman"/>
          <w:sz w:val="66"/>
          <w:szCs w:val="66"/>
        </w:rPr>
      </w:pPr>
      <w:r w:rsidDel="00000000" w:rsidR="00000000" w:rsidRPr="00000000">
        <w:rPr>
          <w:rFonts w:ascii="Times New Roman" w:cs="Times New Roman" w:eastAsia="Times New Roman" w:hAnsi="Times New Roman"/>
          <w:sz w:val="32"/>
          <w:szCs w:val="32"/>
          <w:rtl w:val="0"/>
        </w:rPr>
        <w:t xml:space="preserve">Topic 2: Balancing federal budgets amidst a housing crisis: policy priorities for equity and sustainability​</w:t>
      </w:r>
      <w:r w:rsidDel="00000000" w:rsidR="00000000" w:rsidRPr="00000000">
        <w:rPr>
          <w:rtl w:val="0"/>
        </w:rPr>
      </w:r>
    </w:p>
    <w:p w:rsidR="00000000" w:rsidDel="00000000" w:rsidP="00000000" w:rsidRDefault="00000000" w:rsidRPr="00000000" w14:paraId="000000D5">
      <w:pPr>
        <w:spacing w:after="200" w:before="20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66"/>
          <w:szCs w:val="66"/>
        </w:rPr>
        <w:drawing>
          <wp:inline distB="114300" distT="114300" distL="114300" distR="114300">
            <wp:extent cx="2972181" cy="2972181"/>
            <wp:effectExtent b="0" l="0" r="0" t="0"/>
            <wp:docPr id="5"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2972181" cy="2972181"/>
                    </a:xfrm>
                    <a:prstGeom prst="rect"/>
                    <a:ln/>
                  </pic:spPr>
                </pic:pic>
              </a:graphicData>
            </a:graphic>
          </wp:inline>
        </w:drawing>
      </w:r>
      <w:r w:rsidDel="00000000" w:rsidR="00000000" w:rsidRPr="00000000">
        <w:rPr>
          <w:rFonts w:ascii="Times New Roman" w:cs="Times New Roman" w:eastAsia="Times New Roman" w:hAnsi="Times New Roman"/>
          <w:sz w:val="24"/>
          <w:szCs w:val="24"/>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D6">
      <w:pPr>
        <w:pStyle w:val="Heading3"/>
        <w:keepNext w:val="0"/>
        <w:keepLines w:val="0"/>
        <w:spacing w:before="280" w:line="360" w:lineRule="auto"/>
        <w:jc w:val="center"/>
        <w:rPr>
          <w:rFonts w:ascii="Times New Roman" w:cs="Times New Roman" w:eastAsia="Times New Roman" w:hAnsi="Times New Roman"/>
          <w:b w:val="1"/>
          <w:bCs w:val="1"/>
          <w:color w:val="000000"/>
          <w:sz w:val="24"/>
          <w:szCs w:val="24"/>
          <w:u w:val="single"/>
        </w:rPr>
      </w:pPr>
      <w:bookmarkStart w:colFirst="0" w:colLast="0" w:name="_2cpvnqzfwa8k" w:id="4"/>
      <w:bookmarkEnd w:id="4"/>
      <w:r w:rsidDel="00000000" w:rsidR="00000000" w:rsidRPr="00000000">
        <w:rPr>
          <w:rFonts w:ascii="Times New Roman" w:cs="Times New Roman" w:eastAsia="Times New Roman" w:hAnsi="Times New Roman"/>
          <w:b w:val="1"/>
          <w:bCs w:val="1"/>
          <w:color w:val="000000"/>
          <w:sz w:val="24"/>
          <w:szCs w:val="24"/>
          <w:u w:val="single"/>
          <w:rtl w:val="0"/>
        </w:rPr>
        <w:t xml:space="preserve">The Government (Liberal Party of Canada)</w:t>
      </w:r>
    </w:p>
    <w:p w:rsidR="00000000" w:rsidDel="00000000" w:rsidP="00000000" w:rsidRDefault="00000000" w:rsidRPr="00000000" w14:paraId="000000D7">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 Status: Minority Government. Must maintain the support of at least one other party to pass the budget. Focuses on social progress, government intervention, and balanced economic growth.</w:t>
      </w:r>
    </w:p>
    <w:p w:rsidR="00000000" w:rsidDel="00000000" w:rsidP="00000000" w:rsidRDefault="00000000" w:rsidRPr="00000000" w14:paraId="000000D8">
      <w:pPr>
        <w:numPr>
          <w:ilvl w:val="0"/>
          <w:numId w:val="14"/>
        </w:numPr>
        <w:spacing w:after="0" w:afterAutospacing="0" w:before="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 Carney: Prime Minister of Canada</w:t>
      </w:r>
    </w:p>
    <w:p w:rsidR="00000000" w:rsidDel="00000000" w:rsidP="00000000" w:rsidRDefault="00000000" w:rsidRPr="00000000" w14:paraId="000000D9">
      <w:pPr>
        <w:numPr>
          <w:ilvl w:val="1"/>
          <w:numId w:val="14"/>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Stance: The ultimate decision-maker. Must balance his reputation for fiscal prudence with the need for massive social spending.</w:t>
      </w:r>
    </w:p>
    <w:p w:rsidR="00000000" w:rsidDel="00000000" w:rsidP="00000000" w:rsidRDefault="00000000" w:rsidRPr="00000000" w14:paraId="000000DA">
      <w:pPr>
        <w:numPr>
          <w:ilvl w:val="1"/>
          <w:numId w:val="14"/>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Key Objective: Pass the Budget ($42.2B deficit) without triggering a vote of no confidence. Defends the carbon tax and green housing initiatives.</w:t>
      </w:r>
    </w:p>
    <w:p w:rsidR="00000000" w:rsidDel="00000000" w:rsidP="00000000" w:rsidRDefault="00000000" w:rsidRPr="00000000" w14:paraId="000000DB">
      <w:pPr>
        <w:numPr>
          <w:ilvl w:val="0"/>
          <w:numId w:val="14"/>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François-Philippe Champagne: Minister of Finance and National Revenue</w:t>
      </w:r>
    </w:p>
    <w:p w:rsidR="00000000" w:rsidDel="00000000" w:rsidP="00000000" w:rsidRDefault="00000000" w:rsidRPr="00000000" w14:paraId="000000DC">
      <w:pPr>
        <w:numPr>
          <w:ilvl w:val="1"/>
          <w:numId w:val="14"/>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Stance: The architect of the budget. He argues that the deficit is "responsible spending" to prevent a recession.</w:t>
      </w:r>
    </w:p>
    <w:p w:rsidR="00000000" w:rsidDel="00000000" w:rsidP="00000000" w:rsidRDefault="00000000" w:rsidRPr="00000000" w14:paraId="000000DD">
      <w:pPr>
        <w:numPr>
          <w:ilvl w:val="1"/>
          <w:numId w:val="14"/>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Key Objective: Defend the Capital Gains Tax increase and the cost of the Housing Accelerator Fund.</w:t>
      </w:r>
    </w:p>
    <w:p w:rsidR="00000000" w:rsidDel="00000000" w:rsidP="00000000" w:rsidRDefault="00000000" w:rsidRPr="00000000" w14:paraId="000000DE">
      <w:pPr>
        <w:numPr>
          <w:ilvl w:val="0"/>
          <w:numId w:val="14"/>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Gregor Robertson: Minister of Housing and Infrastructure</w:t>
      </w:r>
    </w:p>
    <w:p w:rsidR="00000000" w:rsidDel="00000000" w:rsidP="00000000" w:rsidRDefault="00000000" w:rsidRPr="00000000" w14:paraId="000000DF">
      <w:pPr>
        <w:numPr>
          <w:ilvl w:val="1"/>
          <w:numId w:val="14"/>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Stance: A former Mayor of Vancouver brought in to fix the crisis. He is a strong "YIMBY" (Yes In My Backyard) advocate.</w:t>
      </w:r>
    </w:p>
    <w:p w:rsidR="00000000" w:rsidDel="00000000" w:rsidP="00000000" w:rsidRDefault="00000000" w:rsidRPr="00000000" w14:paraId="000000E0">
      <w:pPr>
        <w:numPr>
          <w:ilvl w:val="1"/>
          <w:numId w:val="14"/>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Key Objective: Force municipalities to upzone for density or lose funding. Promote the Public Lands for Homes Plan.</w:t>
      </w:r>
    </w:p>
    <w:p w:rsidR="00000000" w:rsidDel="00000000" w:rsidP="00000000" w:rsidRDefault="00000000" w:rsidRPr="00000000" w14:paraId="000000E1">
      <w:pPr>
        <w:numPr>
          <w:ilvl w:val="0"/>
          <w:numId w:val="14"/>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Patty Hajdu: Minister of Jobs and Families</w:t>
      </w:r>
    </w:p>
    <w:p w:rsidR="00000000" w:rsidDel="00000000" w:rsidP="00000000" w:rsidRDefault="00000000" w:rsidRPr="00000000" w14:paraId="000000E2">
      <w:pPr>
        <w:numPr>
          <w:ilvl w:val="1"/>
          <w:numId w:val="14"/>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Stance: Focused on modernizing labor laws and supporting working parents.</w:t>
      </w:r>
    </w:p>
    <w:p w:rsidR="00000000" w:rsidDel="00000000" w:rsidP="00000000" w:rsidRDefault="00000000" w:rsidRPr="00000000" w14:paraId="000000E3">
      <w:pPr>
        <w:numPr>
          <w:ilvl w:val="1"/>
          <w:numId w:val="14"/>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Key Objective: Advocate for the modernization of the Employment Equity Act to include distinct categories for Black and LGBTQ2S+ workers.</w:t>
      </w:r>
    </w:p>
    <w:p w:rsidR="00000000" w:rsidDel="00000000" w:rsidP="00000000" w:rsidRDefault="00000000" w:rsidRPr="00000000" w14:paraId="000000E4">
      <w:pPr>
        <w:numPr>
          <w:ilvl w:val="0"/>
          <w:numId w:val="14"/>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Sean Fraser: Minister of Justice and Attorney General of Canada</w:t>
      </w:r>
    </w:p>
    <w:p w:rsidR="00000000" w:rsidDel="00000000" w:rsidP="00000000" w:rsidRDefault="00000000" w:rsidRPr="00000000" w14:paraId="000000E5">
      <w:pPr>
        <w:numPr>
          <w:ilvl w:val="1"/>
          <w:numId w:val="14"/>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Stance: Ensures all laws comply with the Charter of Rights and Freedoms.</w:t>
      </w:r>
    </w:p>
    <w:p w:rsidR="00000000" w:rsidDel="00000000" w:rsidP="00000000" w:rsidRDefault="00000000" w:rsidRPr="00000000" w14:paraId="000000E6">
      <w:pPr>
        <w:numPr>
          <w:ilvl w:val="1"/>
          <w:numId w:val="14"/>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Key Objective: Defend the constitutionality of federal housing interventions against provincial pushback.</w:t>
      </w:r>
    </w:p>
    <w:p w:rsidR="00000000" w:rsidDel="00000000" w:rsidP="00000000" w:rsidRDefault="00000000" w:rsidRPr="00000000" w14:paraId="000000E7">
      <w:pPr>
        <w:numPr>
          <w:ilvl w:val="0"/>
          <w:numId w:val="14"/>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Rechie Valdez: Minister of Women and Gender Equality</w:t>
      </w:r>
    </w:p>
    <w:p w:rsidR="00000000" w:rsidDel="00000000" w:rsidP="00000000" w:rsidRDefault="00000000" w:rsidRPr="00000000" w14:paraId="000000E8">
      <w:pPr>
        <w:numPr>
          <w:ilvl w:val="1"/>
          <w:numId w:val="14"/>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Stance: Champion of intersectionality.</w:t>
      </w:r>
    </w:p>
    <w:p w:rsidR="00000000" w:rsidDel="00000000" w:rsidP="00000000" w:rsidRDefault="00000000" w:rsidRPr="00000000" w14:paraId="000000E9">
      <w:pPr>
        <w:numPr>
          <w:ilvl w:val="1"/>
          <w:numId w:val="14"/>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Key Objective: Promote the 50-30 Challenge and ensure the budget includes a "Gender-Based Analysis Plus" (GBA+) assessment.</w:t>
      </w:r>
    </w:p>
    <w:p w:rsidR="00000000" w:rsidDel="00000000" w:rsidP="00000000" w:rsidRDefault="00000000" w:rsidRPr="00000000" w14:paraId="000000EA">
      <w:pPr>
        <w:numPr>
          <w:ilvl w:val="0"/>
          <w:numId w:val="14"/>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 Miller: Minister of Canadian Identity and Culture</w:t>
      </w:r>
    </w:p>
    <w:p w:rsidR="00000000" w:rsidDel="00000000" w:rsidP="00000000" w:rsidRDefault="00000000" w:rsidRPr="00000000" w14:paraId="000000EB">
      <w:pPr>
        <w:numPr>
          <w:ilvl w:val="1"/>
          <w:numId w:val="14"/>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Stance: Oversees multiculturalism and anti-racism.</w:t>
      </w:r>
    </w:p>
    <w:p w:rsidR="00000000" w:rsidDel="00000000" w:rsidP="00000000" w:rsidRDefault="00000000" w:rsidRPr="00000000" w14:paraId="000000EC">
      <w:pPr>
        <w:numPr>
          <w:ilvl w:val="1"/>
          <w:numId w:val="14"/>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Key Objective: Push for the implementation of the Anti-Racism Strategy and funding for cultural community centers.</w:t>
      </w:r>
    </w:p>
    <w:p w:rsidR="00000000" w:rsidDel="00000000" w:rsidP="00000000" w:rsidRDefault="00000000" w:rsidRPr="00000000" w14:paraId="000000ED">
      <w:pPr>
        <w:numPr>
          <w:ilvl w:val="0"/>
          <w:numId w:val="14"/>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Shafqat Ali: President of the Treasury Board of Canada</w:t>
      </w:r>
    </w:p>
    <w:p w:rsidR="00000000" w:rsidDel="00000000" w:rsidP="00000000" w:rsidRDefault="00000000" w:rsidRPr="00000000" w14:paraId="000000EE">
      <w:pPr>
        <w:numPr>
          <w:ilvl w:val="1"/>
          <w:numId w:val="14"/>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Stance: The employer of the public service.</w:t>
      </w:r>
    </w:p>
    <w:p w:rsidR="00000000" w:rsidDel="00000000" w:rsidP="00000000" w:rsidRDefault="00000000" w:rsidRPr="00000000" w14:paraId="000000EF">
      <w:pPr>
        <w:numPr>
          <w:ilvl w:val="1"/>
          <w:numId w:val="14"/>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Key Objective: Manage the "Black Class Action" lawsuit settlement and control public sector wage growth.</w:t>
      </w:r>
    </w:p>
    <w:p w:rsidR="00000000" w:rsidDel="00000000" w:rsidP="00000000" w:rsidRDefault="00000000" w:rsidRPr="00000000" w14:paraId="000000F0">
      <w:pPr>
        <w:numPr>
          <w:ilvl w:val="0"/>
          <w:numId w:val="14"/>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Mélanie Joly: Minister of Industry</w:t>
      </w:r>
    </w:p>
    <w:p w:rsidR="00000000" w:rsidDel="00000000" w:rsidP="00000000" w:rsidRDefault="00000000" w:rsidRPr="00000000" w14:paraId="000000F1">
      <w:pPr>
        <w:numPr>
          <w:ilvl w:val="1"/>
          <w:numId w:val="14"/>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Stance: Focuses on economic competitiveness and attracting foreign investment.</w:t>
      </w:r>
    </w:p>
    <w:p w:rsidR="00000000" w:rsidDel="00000000" w:rsidP="00000000" w:rsidRDefault="00000000" w:rsidRPr="00000000" w14:paraId="000000F2">
      <w:pPr>
        <w:numPr>
          <w:ilvl w:val="1"/>
          <w:numId w:val="14"/>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Key Objective: Prevent strict AI regulations from stifling innovation while ensuring corporate boards diversity.</w:t>
      </w:r>
    </w:p>
    <w:p w:rsidR="00000000" w:rsidDel="00000000" w:rsidP="00000000" w:rsidRDefault="00000000" w:rsidRPr="00000000" w14:paraId="000000F3">
      <w:pPr>
        <w:numPr>
          <w:ilvl w:val="0"/>
          <w:numId w:val="14"/>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Maninder Sidhu: Minister of International Trade</w:t>
      </w:r>
    </w:p>
    <w:p w:rsidR="00000000" w:rsidDel="00000000" w:rsidP="00000000" w:rsidRDefault="00000000" w:rsidRPr="00000000" w14:paraId="000000F4">
      <w:pPr>
        <w:numPr>
          <w:ilvl w:val="1"/>
          <w:numId w:val="14"/>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Stance: Focuses on labor supply chains.</w:t>
      </w:r>
    </w:p>
    <w:p w:rsidR="00000000" w:rsidDel="00000000" w:rsidP="00000000" w:rsidRDefault="00000000" w:rsidRPr="00000000" w14:paraId="000000F5">
      <w:pPr>
        <w:numPr>
          <w:ilvl w:val="1"/>
          <w:numId w:val="14"/>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Key Objective: Argues that immigration is necessary to build houses (need construction workers) to counter Conservative attacks on immigration levels.</w:t>
      </w:r>
    </w:p>
    <w:p w:rsidR="00000000" w:rsidDel="00000000" w:rsidP="00000000" w:rsidRDefault="00000000" w:rsidRPr="00000000" w14:paraId="000000F6">
      <w:pPr>
        <w:numPr>
          <w:ilvl w:val="0"/>
          <w:numId w:val="14"/>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Evan Solomon: Minister of Artificial Intelligence and Digital Innovation</w:t>
      </w:r>
    </w:p>
    <w:p w:rsidR="00000000" w:rsidDel="00000000" w:rsidP="00000000" w:rsidRDefault="00000000" w:rsidRPr="00000000" w14:paraId="000000F7">
      <w:pPr>
        <w:numPr>
          <w:ilvl w:val="1"/>
          <w:numId w:val="14"/>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Stance: A new portfolio focused on future-proofing the economy.</w:t>
      </w:r>
    </w:p>
    <w:p w:rsidR="00000000" w:rsidDel="00000000" w:rsidP="00000000" w:rsidRDefault="00000000" w:rsidRPr="00000000" w14:paraId="000000F8">
      <w:pPr>
        <w:numPr>
          <w:ilvl w:val="1"/>
          <w:numId w:val="14"/>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Key Objective: regulate AI bias in hiring algorithms (Topic 1) without killing the tech sector.</w:t>
      </w:r>
    </w:p>
    <w:p w:rsidR="00000000" w:rsidDel="00000000" w:rsidP="00000000" w:rsidRDefault="00000000" w:rsidRPr="00000000" w14:paraId="000000F9">
      <w:pPr>
        <w:numPr>
          <w:ilvl w:val="0"/>
          <w:numId w:val="14"/>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 Zerucelli: Secretary of State for Labour</w:t>
      </w:r>
    </w:p>
    <w:p w:rsidR="00000000" w:rsidDel="00000000" w:rsidP="00000000" w:rsidRDefault="00000000" w:rsidRPr="00000000" w14:paraId="000000FA">
      <w:pPr>
        <w:numPr>
          <w:ilvl w:val="1"/>
          <w:numId w:val="14"/>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Stance: Liaison to unions.</w:t>
      </w:r>
    </w:p>
    <w:p w:rsidR="00000000" w:rsidDel="00000000" w:rsidP="00000000" w:rsidRDefault="00000000" w:rsidRPr="00000000" w14:paraId="000000FB">
      <w:pPr>
        <w:numPr>
          <w:ilvl w:val="1"/>
          <w:numId w:val="14"/>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Key Objective: Ensure "fair wages" in federally funded housing projects.</w:t>
      </w:r>
    </w:p>
    <w:p w:rsidR="00000000" w:rsidDel="00000000" w:rsidP="00000000" w:rsidRDefault="00000000" w:rsidRPr="00000000" w14:paraId="000000FC">
      <w:pPr>
        <w:numPr>
          <w:ilvl w:val="0"/>
          <w:numId w:val="14"/>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Anna M. Gainey: Secretary of State for Children and Youth</w:t>
      </w:r>
    </w:p>
    <w:p w:rsidR="00000000" w:rsidDel="00000000" w:rsidP="00000000" w:rsidRDefault="00000000" w:rsidRPr="00000000" w14:paraId="000000FD">
      <w:pPr>
        <w:numPr>
          <w:ilvl w:val="1"/>
          <w:numId w:val="14"/>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Stance: The voice for "Gen Z" and "Gen Alpha."</w:t>
      </w:r>
    </w:p>
    <w:p w:rsidR="00000000" w:rsidDel="00000000" w:rsidP="00000000" w:rsidRDefault="00000000" w:rsidRPr="00000000" w14:paraId="000000FE">
      <w:pPr>
        <w:numPr>
          <w:ilvl w:val="1"/>
          <w:numId w:val="14"/>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Key Objective: Fight for "Intergenerational Fairness"—arguing that debt shouldn't be passed to kids, but neither should a housing shortage.</w:t>
      </w:r>
    </w:p>
    <w:p w:rsidR="00000000" w:rsidDel="00000000" w:rsidP="00000000" w:rsidRDefault="00000000" w:rsidRPr="00000000" w14:paraId="000000FF">
      <w:pPr>
        <w:numPr>
          <w:ilvl w:val="0"/>
          <w:numId w:val="14"/>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Sameer Zuberi: Parliamentary Secretary to the Minister of Diversity, Inclusion and Persons with Disabilities</w:t>
      </w:r>
    </w:p>
    <w:p w:rsidR="00000000" w:rsidDel="00000000" w:rsidP="00000000" w:rsidRDefault="00000000" w:rsidRPr="00000000" w14:paraId="00000100">
      <w:pPr>
        <w:numPr>
          <w:ilvl w:val="1"/>
          <w:numId w:val="14"/>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Stance: Deputy on equity files.</w:t>
      </w:r>
    </w:p>
    <w:p w:rsidR="00000000" w:rsidDel="00000000" w:rsidP="00000000" w:rsidRDefault="00000000" w:rsidRPr="00000000" w14:paraId="00000101">
      <w:pPr>
        <w:numPr>
          <w:ilvl w:val="1"/>
          <w:numId w:val="14"/>
        </w:numPr>
        <w:spacing w:after="24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Key Objective: Assist in drafting the technical details of the Employment Equity Act reform.</w:t>
      </w:r>
      <w:r w:rsidDel="00000000" w:rsidR="00000000" w:rsidRPr="00000000">
        <w:rPr>
          <w:rtl w:val="0"/>
        </w:rPr>
      </w:r>
    </w:p>
    <w:p w:rsidR="00000000" w:rsidDel="00000000" w:rsidP="00000000" w:rsidRDefault="00000000" w:rsidRPr="00000000" w14:paraId="00000102">
      <w:pPr>
        <w:pStyle w:val="Heading3"/>
        <w:keepNext w:val="0"/>
        <w:keepLines w:val="0"/>
        <w:spacing w:before="280" w:line="360" w:lineRule="auto"/>
        <w:rPr>
          <w:rFonts w:ascii="Times New Roman" w:cs="Times New Roman" w:eastAsia="Times New Roman" w:hAnsi="Times New Roman"/>
          <w:b w:val="1"/>
          <w:bCs w:val="1"/>
          <w:color w:val="000000"/>
          <w:sz w:val="24"/>
          <w:szCs w:val="24"/>
          <w:u w:val="single"/>
        </w:rPr>
      </w:pPr>
      <w:bookmarkStart w:colFirst="0" w:colLast="0" w:name="_78te8mtxdszz" w:id="5"/>
      <w:bookmarkEnd w:id="5"/>
      <w:r w:rsidDel="00000000" w:rsidR="00000000" w:rsidRPr="00000000">
        <w:rPr>
          <w:rtl w:val="0"/>
        </w:rPr>
      </w:r>
    </w:p>
    <w:p w:rsidR="00000000" w:rsidDel="00000000" w:rsidP="00000000" w:rsidRDefault="00000000" w:rsidRPr="00000000" w14:paraId="00000103">
      <w:pPr>
        <w:pStyle w:val="Heading3"/>
        <w:keepNext w:val="0"/>
        <w:keepLines w:val="0"/>
        <w:spacing w:before="280" w:line="360" w:lineRule="auto"/>
        <w:jc w:val="center"/>
        <w:rPr>
          <w:rFonts w:ascii="Times New Roman" w:cs="Times New Roman" w:eastAsia="Times New Roman" w:hAnsi="Times New Roman"/>
          <w:b w:val="1"/>
          <w:bCs w:val="1"/>
          <w:color w:val="000000"/>
          <w:sz w:val="24"/>
          <w:szCs w:val="24"/>
          <w:u w:val="single"/>
        </w:rPr>
      </w:pPr>
      <w:bookmarkStart w:colFirst="0" w:colLast="0" w:name="_3jmg97rh4f1" w:id="6"/>
      <w:bookmarkEnd w:id="6"/>
      <w:r w:rsidDel="00000000" w:rsidR="00000000" w:rsidRPr="00000000">
        <w:rPr>
          <w:rFonts w:ascii="Times New Roman" w:cs="Times New Roman" w:eastAsia="Times New Roman" w:hAnsi="Times New Roman"/>
          <w:b w:val="1"/>
          <w:bCs w:val="1"/>
          <w:color w:val="000000"/>
          <w:sz w:val="24"/>
          <w:szCs w:val="24"/>
          <w:u w:val="single"/>
          <w:rtl w:val="0"/>
        </w:rPr>
        <w:t xml:space="preserve">Her Majesty’s Loyal Opposition (Conservative Party of Canada)</w:t>
      </w:r>
    </w:p>
    <w:p w:rsidR="00000000" w:rsidDel="00000000" w:rsidP="00000000" w:rsidRDefault="00000000" w:rsidRPr="00000000" w14:paraId="00000104">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 Status: Official Opposition. Focuses on "Common Sense," cutting government spending ("Axe the Tax"), and deregulation. They argue the government is "woke and broke."</w:t>
      </w:r>
    </w:p>
    <w:p w:rsidR="00000000" w:rsidDel="00000000" w:rsidP="00000000" w:rsidRDefault="00000000" w:rsidRPr="00000000" w14:paraId="00000105">
      <w:pPr>
        <w:numPr>
          <w:ilvl w:val="0"/>
          <w:numId w:val="15"/>
        </w:numPr>
        <w:spacing w:after="0" w:afterAutospacing="0" w:before="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Pierre Poilievre: Leader of the Official Opposition</w:t>
      </w:r>
    </w:p>
    <w:p w:rsidR="00000000" w:rsidDel="00000000" w:rsidP="00000000" w:rsidRDefault="00000000" w:rsidRPr="00000000" w14:paraId="00000106">
      <w:pPr>
        <w:numPr>
          <w:ilvl w:val="1"/>
          <w:numId w:val="15"/>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Stance: Aggressive critic of the Prime Minister. Blames the housing crisis on "gatekeepers" and inflation on "money printing."</w:t>
      </w:r>
    </w:p>
    <w:p w:rsidR="00000000" w:rsidDel="00000000" w:rsidP="00000000" w:rsidRDefault="00000000" w:rsidRPr="00000000" w14:paraId="00000107">
      <w:pPr>
        <w:numPr>
          <w:ilvl w:val="1"/>
          <w:numId w:val="15"/>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Key Objective: Defeat the budget. Argue that equity quotas are "divisive identity politics" and that merit should rule.</w:t>
      </w:r>
    </w:p>
    <w:p w:rsidR="00000000" w:rsidDel="00000000" w:rsidP="00000000" w:rsidRDefault="00000000" w:rsidRPr="00000000" w14:paraId="00000108">
      <w:pPr>
        <w:numPr>
          <w:ilvl w:val="0"/>
          <w:numId w:val="15"/>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Andrew Scheer: House Leader of the Official Opposition</w:t>
      </w:r>
    </w:p>
    <w:p w:rsidR="00000000" w:rsidDel="00000000" w:rsidP="00000000" w:rsidRDefault="00000000" w:rsidRPr="00000000" w14:paraId="00000109">
      <w:pPr>
        <w:numPr>
          <w:ilvl w:val="1"/>
          <w:numId w:val="15"/>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Stance: Expert in parliamentary procedure.</w:t>
      </w:r>
    </w:p>
    <w:p w:rsidR="00000000" w:rsidDel="00000000" w:rsidP="00000000" w:rsidRDefault="00000000" w:rsidRPr="00000000" w14:paraId="0000010A">
      <w:pPr>
        <w:numPr>
          <w:ilvl w:val="1"/>
          <w:numId w:val="15"/>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Key Objective: Use stall tactics and points of order to delay government bills.</w:t>
      </w:r>
    </w:p>
    <w:p w:rsidR="00000000" w:rsidDel="00000000" w:rsidP="00000000" w:rsidRDefault="00000000" w:rsidRPr="00000000" w14:paraId="0000010B">
      <w:pPr>
        <w:numPr>
          <w:ilvl w:val="0"/>
          <w:numId w:val="15"/>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 Uppal: Deputy Leader of the Official Opposition</w:t>
      </w:r>
    </w:p>
    <w:p w:rsidR="00000000" w:rsidDel="00000000" w:rsidP="00000000" w:rsidRDefault="00000000" w:rsidRPr="00000000" w14:paraId="0000010C">
      <w:pPr>
        <w:numPr>
          <w:ilvl w:val="1"/>
          <w:numId w:val="15"/>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Stance: Focuses on outreach to immigrant communities.</w:t>
      </w:r>
    </w:p>
    <w:p w:rsidR="00000000" w:rsidDel="00000000" w:rsidP="00000000" w:rsidRDefault="00000000" w:rsidRPr="00000000" w14:paraId="0000010D">
      <w:pPr>
        <w:numPr>
          <w:ilvl w:val="1"/>
          <w:numId w:val="15"/>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Key Objective: Argue that the best way to help new Canadians is a strong economy, not government diversity programs.</w:t>
      </w:r>
    </w:p>
    <w:p w:rsidR="00000000" w:rsidDel="00000000" w:rsidP="00000000" w:rsidRDefault="00000000" w:rsidRPr="00000000" w14:paraId="0000010E">
      <w:pPr>
        <w:numPr>
          <w:ilvl w:val="0"/>
          <w:numId w:val="15"/>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Scott Aitchison: Shadow Minister for Housing</w:t>
      </w:r>
    </w:p>
    <w:p w:rsidR="00000000" w:rsidDel="00000000" w:rsidP="00000000" w:rsidRDefault="00000000" w:rsidRPr="00000000" w14:paraId="0000010F">
      <w:pPr>
        <w:numPr>
          <w:ilvl w:val="1"/>
          <w:numId w:val="15"/>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Stance: A moderate voice but firm on supply.</w:t>
      </w:r>
    </w:p>
    <w:p w:rsidR="00000000" w:rsidDel="00000000" w:rsidP="00000000" w:rsidRDefault="00000000" w:rsidRPr="00000000" w14:paraId="00000110">
      <w:pPr>
        <w:numPr>
          <w:ilvl w:val="1"/>
          <w:numId w:val="15"/>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Key Objective: Argues for firing municipal gatekeepers and incentivizing the private sector rather than spending billions on public housing bureaucracy.</w:t>
      </w:r>
    </w:p>
    <w:p w:rsidR="00000000" w:rsidDel="00000000" w:rsidP="00000000" w:rsidRDefault="00000000" w:rsidRPr="00000000" w14:paraId="00000111">
      <w:pPr>
        <w:numPr>
          <w:ilvl w:val="0"/>
          <w:numId w:val="15"/>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Garnett Genuis: Shadow Minister for Employment</w:t>
      </w:r>
    </w:p>
    <w:p w:rsidR="00000000" w:rsidDel="00000000" w:rsidP="00000000" w:rsidRDefault="00000000" w:rsidRPr="00000000" w14:paraId="00000112">
      <w:pPr>
        <w:numPr>
          <w:ilvl w:val="1"/>
          <w:numId w:val="15"/>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Stance: Strong critic of the Employment Equity Act modernization.</w:t>
      </w:r>
    </w:p>
    <w:p w:rsidR="00000000" w:rsidDel="00000000" w:rsidP="00000000" w:rsidRDefault="00000000" w:rsidRPr="00000000" w14:paraId="00000113">
      <w:pPr>
        <w:numPr>
          <w:ilvl w:val="1"/>
          <w:numId w:val="15"/>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Key Objective: Argue that the government is interfering in private businesses and that hiring should be 100% merit-based.</w:t>
      </w:r>
    </w:p>
    <w:p w:rsidR="00000000" w:rsidDel="00000000" w:rsidP="00000000" w:rsidRDefault="00000000" w:rsidRPr="00000000" w14:paraId="00000114">
      <w:pPr>
        <w:numPr>
          <w:ilvl w:val="0"/>
          <w:numId w:val="15"/>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Stephanie Kusie: Shadow Minister for the Treasury Board</w:t>
      </w:r>
    </w:p>
    <w:p w:rsidR="00000000" w:rsidDel="00000000" w:rsidP="00000000" w:rsidRDefault="00000000" w:rsidRPr="00000000" w14:paraId="00000115">
      <w:pPr>
        <w:numPr>
          <w:ilvl w:val="1"/>
          <w:numId w:val="15"/>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Stance: The fiscal hawk.</w:t>
      </w:r>
    </w:p>
    <w:p w:rsidR="00000000" w:rsidDel="00000000" w:rsidP="00000000" w:rsidRDefault="00000000" w:rsidRPr="00000000" w14:paraId="00000116">
      <w:pPr>
        <w:numPr>
          <w:ilvl w:val="1"/>
          <w:numId w:val="15"/>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Key Objective: scrutinize every dollar of the $50 million public service action plan. Demands cuts to the "bloated" public service.</w:t>
      </w:r>
    </w:p>
    <w:p w:rsidR="00000000" w:rsidDel="00000000" w:rsidP="00000000" w:rsidRDefault="00000000" w:rsidRPr="00000000" w14:paraId="00000117">
      <w:pPr>
        <w:numPr>
          <w:ilvl w:val="0"/>
          <w:numId w:val="15"/>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Larry Brock: Shadow Minister for Justice &amp; Attorney General of Canada</w:t>
      </w:r>
    </w:p>
    <w:p w:rsidR="00000000" w:rsidDel="00000000" w:rsidP="00000000" w:rsidRDefault="00000000" w:rsidRPr="00000000" w14:paraId="00000118">
      <w:pPr>
        <w:numPr>
          <w:ilvl w:val="1"/>
          <w:numId w:val="15"/>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Stance: Tough on crime and regulatory overreach.</w:t>
      </w:r>
    </w:p>
    <w:p w:rsidR="00000000" w:rsidDel="00000000" w:rsidP="00000000" w:rsidRDefault="00000000" w:rsidRPr="00000000" w14:paraId="00000119">
      <w:pPr>
        <w:numPr>
          <w:ilvl w:val="1"/>
          <w:numId w:val="15"/>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Key Objective: Oppose federal overreach into provincial housing jurisdiction.</w:t>
      </w:r>
    </w:p>
    <w:p w:rsidR="00000000" w:rsidDel="00000000" w:rsidP="00000000" w:rsidRDefault="00000000" w:rsidRPr="00000000" w14:paraId="0000011A">
      <w:pPr>
        <w:numPr>
          <w:ilvl w:val="0"/>
          <w:numId w:val="15"/>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Raquel Dancho: Shadow Minister for Industry</w:t>
      </w:r>
    </w:p>
    <w:p w:rsidR="00000000" w:rsidDel="00000000" w:rsidP="00000000" w:rsidRDefault="00000000" w:rsidRPr="00000000" w14:paraId="0000011B">
      <w:pPr>
        <w:numPr>
          <w:ilvl w:val="1"/>
          <w:numId w:val="15"/>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Stance: Pro-business, anti-red tape.</w:t>
      </w:r>
    </w:p>
    <w:p w:rsidR="00000000" w:rsidDel="00000000" w:rsidP="00000000" w:rsidRDefault="00000000" w:rsidRPr="00000000" w14:paraId="0000011C">
      <w:pPr>
        <w:numPr>
          <w:ilvl w:val="1"/>
          <w:numId w:val="15"/>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Key Objective: Oppose AI regulations that stifle business innovation.</w:t>
      </w:r>
    </w:p>
    <w:p w:rsidR="00000000" w:rsidDel="00000000" w:rsidP="00000000" w:rsidRDefault="00000000" w:rsidRPr="00000000" w14:paraId="0000011D">
      <w:pPr>
        <w:numPr>
          <w:ilvl w:val="0"/>
          <w:numId w:val="15"/>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Laila Goodridge: Shadow Minister for Social Development and Families</w:t>
      </w:r>
    </w:p>
    <w:p w:rsidR="00000000" w:rsidDel="00000000" w:rsidP="00000000" w:rsidRDefault="00000000" w:rsidRPr="00000000" w14:paraId="0000011E">
      <w:pPr>
        <w:numPr>
          <w:ilvl w:val="1"/>
          <w:numId w:val="15"/>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Stance: Focuses on cost of living for families.</w:t>
      </w:r>
    </w:p>
    <w:p w:rsidR="00000000" w:rsidDel="00000000" w:rsidP="00000000" w:rsidRDefault="00000000" w:rsidRPr="00000000" w14:paraId="0000011F">
      <w:pPr>
        <w:numPr>
          <w:ilvl w:val="1"/>
          <w:numId w:val="15"/>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Key Objective: Argue that the carbon tax and housing costs are destroying the Canadian family dream.</w:t>
      </w:r>
    </w:p>
    <w:p w:rsidR="00000000" w:rsidDel="00000000" w:rsidP="00000000" w:rsidRDefault="00000000" w:rsidRPr="00000000" w14:paraId="00000120">
      <w:pPr>
        <w:numPr>
          <w:ilvl w:val="0"/>
          <w:numId w:val="15"/>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 Lobb: Shadow Minister for Digital Government and Artificial Intelligence</w:t>
      </w:r>
    </w:p>
    <w:p w:rsidR="00000000" w:rsidDel="00000000" w:rsidP="00000000" w:rsidRDefault="00000000" w:rsidRPr="00000000" w14:paraId="00000121">
      <w:pPr>
        <w:numPr>
          <w:ilvl w:val="1"/>
          <w:numId w:val="15"/>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Stance: Skeptic of government tech regulation.</w:t>
      </w:r>
    </w:p>
    <w:p w:rsidR="00000000" w:rsidDel="00000000" w:rsidP="00000000" w:rsidRDefault="00000000" w:rsidRPr="00000000" w14:paraId="00000122">
      <w:pPr>
        <w:numPr>
          <w:ilvl w:val="1"/>
          <w:numId w:val="15"/>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Key Objective: Ensure AI laws don't become a "censorship" tool.</w:t>
      </w:r>
    </w:p>
    <w:p w:rsidR="00000000" w:rsidDel="00000000" w:rsidP="00000000" w:rsidRDefault="00000000" w:rsidRPr="00000000" w14:paraId="00000123">
      <w:pPr>
        <w:numPr>
          <w:ilvl w:val="0"/>
          <w:numId w:val="15"/>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Kevin Waugh: Associate Shadow Minister for Canadian Identity and Culture</w:t>
      </w:r>
    </w:p>
    <w:p w:rsidR="00000000" w:rsidDel="00000000" w:rsidP="00000000" w:rsidRDefault="00000000" w:rsidRPr="00000000" w14:paraId="00000124">
      <w:pPr>
        <w:numPr>
          <w:ilvl w:val="1"/>
          <w:numId w:val="15"/>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Stance: Critic of "Cancel Culture."</w:t>
      </w:r>
    </w:p>
    <w:p w:rsidR="00000000" w:rsidDel="00000000" w:rsidP="00000000" w:rsidRDefault="00000000" w:rsidRPr="00000000" w14:paraId="00000125">
      <w:pPr>
        <w:numPr>
          <w:ilvl w:val="1"/>
          <w:numId w:val="15"/>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Key Objective: Protect historical symbols and argue against "erasing history" in the name of equity.</w:t>
      </w:r>
    </w:p>
    <w:p w:rsidR="00000000" w:rsidDel="00000000" w:rsidP="00000000" w:rsidRDefault="00000000" w:rsidRPr="00000000" w14:paraId="00000126">
      <w:pPr>
        <w:numPr>
          <w:ilvl w:val="0"/>
          <w:numId w:val="15"/>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Tako van Popta &amp; Pat Kelly: Associate Shadow Ministers (Pacific &amp; Prairies)</w:t>
      </w:r>
    </w:p>
    <w:p w:rsidR="00000000" w:rsidDel="00000000" w:rsidP="00000000" w:rsidRDefault="00000000" w:rsidRPr="00000000" w14:paraId="00000127">
      <w:pPr>
        <w:numPr>
          <w:ilvl w:val="1"/>
          <w:numId w:val="15"/>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Stance: Regional advocates.</w:t>
      </w:r>
    </w:p>
    <w:p w:rsidR="00000000" w:rsidDel="00000000" w:rsidP="00000000" w:rsidRDefault="00000000" w:rsidRPr="00000000" w14:paraId="00000128">
      <w:pPr>
        <w:numPr>
          <w:ilvl w:val="1"/>
          <w:numId w:val="15"/>
        </w:numPr>
        <w:spacing w:after="24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Key Objective: Fight for Western Canada’s economic interests (Oil &amp; Gas, Port access) against "Ottawa-centric" policies.</w:t>
      </w:r>
      <w:r w:rsidDel="00000000" w:rsidR="00000000" w:rsidRPr="00000000">
        <w:rPr>
          <w:rtl w:val="0"/>
        </w:rPr>
      </w:r>
    </w:p>
    <w:p w:rsidR="00000000" w:rsidDel="00000000" w:rsidP="00000000" w:rsidRDefault="00000000" w:rsidRPr="00000000" w14:paraId="00000129">
      <w:pPr>
        <w:spacing w:after="240" w:before="240" w:line="360" w:lineRule="auto"/>
        <w:jc w:val="center"/>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The New Democratic Party (NDP)</w:t>
      </w:r>
    </w:p>
    <w:p w:rsidR="00000000" w:rsidDel="00000000" w:rsidP="00000000" w:rsidRDefault="00000000" w:rsidRPr="00000000" w14:paraId="0000012A">
      <w:pPr>
        <w:spacing w:after="24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Current Status: Third Party. Holds the "balance of power." They support the government only if they get more social spending. They argue the Liberals are "fake progressives" and the Conservatives are "corporate shills."</w:t>
      </w:r>
    </w:p>
    <w:p w:rsidR="00000000" w:rsidDel="00000000" w:rsidP="00000000" w:rsidRDefault="00000000" w:rsidRPr="00000000" w14:paraId="0000012B">
      <w:pPr>
        <w:numPr>
          <w:ilvl w:val="0"/>
          <w:numId w:val="6"/>
        </w:numPr>
        <w:spacing w:after="0" w:afterAutospacing="0" w:before="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 Davies: Interim Leader of the New Democratic Party</w:t>
      </w:r>
    </w:p>
    <w:p w:rsidR="00000000" w:rsidDel="00000000" w:rsidP="00000000" w:rsidRDefault="00000000" w:rsidRPr="00000000" w14:paraId="0000012C">
      <w:pPr>
        <w:numPr>
          <w:ilvl w:val="1"/>
          <w:numId w:val="6"/>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Stance: Experienced parliamentarian pushing for a "working-class" agenda.</w:t>
      </w:r>
    </w:p>
    <w:p w:rsidR="00000000" w:rsidDel="00000000" w:rsidP="00000000" w:rsidRDefault="00000000" w:rsidRPr="00000000" w14:paraId="0000012D">
      <w:pPr>
        <w:numPr>
          <w:ilvl w:val="1"/>
          <w:numId w:val="6"/>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Key Objective: Demand more than the Liberals offer. Wants a "Wealth Tax" to pay for housing.</w:t>
      </w:r>
    </w:p>
    <w:p w:rsidR="00000000" w:rsidDel="00000000" w:rsidP="00000000" w:rsidRDefault="00000000" w:rsidRPr="00000000" w14:paraId="0000012E">
      <w:pPr>
        <w:numPr>
          <w:ilvl w:val="0"/>
          <w:numId w:val="6"/>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Catherine McKenney: Shadow Minister for Housing</w:t>
      </w:r>
    </w:p>
    <w:p w:rsidR="00000000" w:rsidDel="00000000" w:rsidP="00000000" w:rsidRDefault="00000000" w:rsidRPr="00000000" w14:paraId="0000012F">
      <w:pPr>
        <w:numPr>
          <w:ilvl w:val="1"/>
          <w:numId w:val="6"/>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Stance: Strongest advocate for non-market housing.</w:t>
      </w:r>
    </w:p>
    <w:p w:rsidR="00000000" w:rsidDel="00000000" w:rsidP="00000000" w:rsidRDefault="00000000" w:rsidRPr="00000000" w14:paraId="00000130">
      <w:pPr>
        <w:numPr>
          <w:ilvl w:val="1"/>
          <w:numId w:val="6"/>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Key Objective: Argues "supply" isn't enough if it's luxury condos. Demands massive investment in co-ops and social housing to end homelessness.</w:t>
      </w:r>
    </w:p>
    <w:p w:rsidR="00000000" w:rsidDel="00000000" w:rsidP="00000000" w:rsidRDefault="00000000" w:rsidRPr="00000000" w14:paraId="00000131">
      <w:pPr>
        <w:numPr>
          <w:ilvl w:val="0"/>
          <w:numId w:val="6"/>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Jessica Bell: Shadow Minister for Finance and Treasury Board</w:t>
      </w:r>
    </w:p>
    <w:p w:rsidR="00000000" w:rsidDel="00000000" w:rsidP="00000000" w:rsidRDefault="00000000" w:rsidRPr="00000000" w14:paraId="00000132">
      <w:pPr>
        <w:numPr>
          <w:ilvl w:val="1"/>
          <w:numId w:val="6"/>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Stance: Critical of corporate bailouts.</w:t>
      </w:r>
    </w:p>
    <w:p w:rsidR="00000000" w:rsidDel="00000000" w:rsidP="00000000" w:rsidRDefault="00000000" w:rsidRPr="00000000" w14:paraId="00000133">
      <w:pPr>
        <w:numPr>
          <w:ilvl w:val="1"/>
          <w:numId w:val="6"/>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Key Objective: Demands that any company receiving federal contracts must adhere to strict diversity and union quotas.</w:t>
      </w:r>
    </w:p>
    <w:p w:rsidR="00000000" w:rsidDel="00000000" w:rsidP="00000000" w:rsidRDefault="00000000" w:rsidRPr="00000000" w14:paraId="00000134">
      <w:pPr>
        <w:numPr>
          <w:ilvl w:val="0"/>
          <w:numId w:val="6"/>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Jamie West: Shadow Minister for Labour, Energy and Mines</w:t>
      </w:r>
    </w:p>
    <w:p w:rsidR="00000000" w:rsidDel="00000000" w:rsidP="00000000" w:rsidRDefault="00000000" w:rsidRPr="00000000" w14:paraId="00000135">
      <w:pPr>
        <w:numPr>
          <w:ilvl w:val="1"/>
          <w:numId w:val="6"/>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Stance: Former steelworker, strong union advocate.</w:t>
      </w:r>
    </w:p>
    <w:p w:rsidR="00000000" w:rsidDel="00000000" w:rsidP="00000000" w:rsidRDefault="00000000" w:rsidRPr="00000000" w14:paraId="00000136">
      <w:pPr>
        <w:numPr>
          <w:ilvl w:val="1"/>
          <w:numId w:val="6"/>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Key Objective: Anti-scab legislation and ensuring "Green Jobs" are union jobs.</w:t>
      </w:r>
    </w:p>
    <w:p w:rsidR="00000000" w:rsidDel="00000000" w:rsidP="00000000" w:rsidRDefault="00000000" w:rsidRPr="00000000" w14:paraId="00000137">
      <w:pPr>
        <w:numPr>
          <w:ilvl w:val="0"/>
          <w:numId w:val="6"/>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Doly Begum: Shadow Minister for Public Transit, Equity and Anti-Racism</w:t>
      </w:r>
    </w:p>
    <w:p w:rsidR="00000000" w:rsidDel="00000000" w:rsidP="00000000" w:rsidRDefault="00000000" w:rsidRPr="00000000" w14:paraId="00000138">
      <w:pPr>
        <w:numPr>
          <w:ilvl w:val="1"/>
          <w:numId w:val="6"/>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Stance: Focuses on systemic barriers.</w:t>
      </w:r>
    </w:p>
    <w:p w:rsidR="00000000" w:rsidDel="00000000" w:rsidP="00000000" w:rsidRDefault="00000000" w:rsidRPr="00000000" w14:paraId="00000139">
      <w:pPr>
        <w:numPr>
          <w:ilvl w:val="1"/>
          <w:numId w:val="6"/>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Key Objective: Supports the Black Class Action lawsuit and demands a dedicated "Black Equity Commission" immediately.</w:t>
      </w:r>
    </w:p>
    <w:p w:rsidR="00000000" w:rsidDel="00000000" w:rsidP="00000000" w:rsidRDefault="00000000" w:rsidRPr="00000000" w14:paraId="0000013A">
      <w:pPr>
        <w:numPr>
          <w:ilvl w:val="0"/>
          <w:numId w:val="6"/>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Catherine Fife: Shadow Minister for Economic Development, Job Creation and Trade</w:t>
      </w:r>
    </w:p>
    <w:p w:rsidR="00000000" w:rsidDel="00000000" w:rsidP="00000000" w:rsidRDefault="00000000" w:rsidRPr="00000000" w14:paraId="0000013B">
      <w:pPr>
        <w:numPr>
          <w:ilvl w:val="1"/>
          <w:numId w:val="6"/>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Stance: Focuses on local economies.</w:t>
      </w:r>
    </w:p>
    <w:p w:rsidR="00000000" w:rsidDel="00000000" w:rsidP="00000000" w:rsidRDefault="00000000" w:rsidRPr="00000000" w14:paraId="0000013C">
      <w:pPr>
        <w:numPr>
          <w:ilvl w:val="1"/>
          <w:numId w:val="6"/>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Key Objective: Ensure federal infrastructure money stays in Canada and benefits local workers.</w:t>
      </w:r>
    </w:p>
    <w:p w:rsidR="00000000" w:rsidDel="00000000" w:rsidP="00000000" w:rsidRDefault="00000000" w:rsidRPr="00000000" w14:paraId="0000013D">
      <w:pPr>
        <w:numPr>
          <w:ilvl w:val="0"/>
          <w:numId w:val="6"/>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Alexa Gilmour: Shadow Minister for Women’s Social and Economic Opportunity</w:t>
      </w:r>
    </w:p>
    <w:p w:rsidR="00000000" w:rsidDel="00000000" w:rsidP="00000000" w:rsidRDefault="00000000" w:rsidRPr="00000000" w14:paraId="0000013E">
      <w:pPr>
        <w:numPr>
          <w:ilvl w:val="1"/>
          <w:numId w:val="6"/>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Stance: Advocate for social safety nets.</w:t>
      </w:r>
    </w:p>
    <w:p w:rsidR="00000000" w:rsidDel="00000000" w:rsidP="00000000" w:rsidRDefault="00000000" w:rsidRPr="00000000" w14:paraId="0000013F">
      <w:pPr>
        <w:numPr>
          <w:ilvl w:val="1"/>
          <w:numId w:val="6"/>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Key Objective: Link housing funding to accessibility for people with disabilities (Autism program focus).</w:t>
      </w:r>
    </w:p>
    <w:p w:rsidR="00000000" w:rsidDel="00000000" w:rsidP="00000000" w:rsidRDefault="00000000" w:rsidRPr="00000000" w14:paraId="00000140">
      <w:pPr>
        <w:numPr>
          <w:ilvl w:val="0"/>
          <w:numId w:val="6"/>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Lisa Gretzky: Shadow Minister for Children, Community, and Social Services</w:t>
      </w:r>
    </w:p>
    <w:p w:rsidR="00000000" w:rsidDel="00000000" w:rsidP="00000000" w:rsidRDefault="00000000" w:rsidRPr="00000000" w14:paraId="00000141">
      <w:pPr>
        <w:numPr>
          <w:ilvl w:val="1"/>
          <w:numId w:val="6"/>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Stance: Social justice advocate.</w:t>
      </w:r>
    </w:p>
    <w:p w:rsidR="00000000" w:rsidDel="00000000" w:rsidP="00000000" w:rsidRDefault="00000000" w:rsidRPr="00000000" w14:paraId="00000142">
      <w:pPr>
        <w:numPr>
          <w:ilvl w:val="1"/>
          <w:numId w:val="6"/>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Key Objective: Increase the Canada Child Benefit and ensure housing for youth exiting foster care.</w:t>
      </w:r>
    </w:p>
    <w:p w:rsidR="00000000" w:rsidDel="00000000" w:rsidP="00000000" w:rsidRDefault="00000000" w:rsidRPr="00000000" w14:paraId="00000143">
      <w:pPr>
        <w:numPr>
          <w:ilvl w:val="0"/>
          <w:numId w:val="6"/>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Jennifer French: Shadow Minister for Infrastructure, Transportation</w:t>
      </w:r>
    </w:p>
    <w:p w:rsidR="00000000" w:rsidDel="00000000" w:rsidP="00000000" w:rsidRDefault="00000000" w:rsidRPr="00000000" w14:paraId="00000144">
      <w:pPr>
        <w:numPr>
          <w:ilvl w:val="1"/>
          <w:numId w:val="6"/>
        </w:numPr>
        <w:spacing w:after="0" w:afterAutospacing="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Stance: Focuses on public transit access.</w:t>
      </w:r>
    </w:p>
    <w:p w:rsidR="00000000" w:rsidDel="00000000" w:rsidP="00000000" w:rsidRDefault="00000000" w:rsidRPr="00000000" w14:paraId="00000145">
      <w:pPr>
        <w:numPr>
          <w:ilvl w:val="1"/>
          <w:numId w:val="6"/>
        </w:numPr>
        <w:spacing w:after="240" w:before="0" w:beforeAutospacing="0" w:line="360" w:lineRule="auto"/>
        <w:ind w:left="1440" w:hanging="360"/>
        <w:rPr>
          <w:sz w:val="24"/>
          <w:szCs w:val="24"/>
        </w:rPr>
      </w:pPr>
      <w:r w:rsidDel="00000000" w:rsidR="00000000" w:rsidRPr="00000000">
        <w:rPr>
          <w:rFonts w:ascii="Times New Roman" w:cs="Times New Roman" w:eastAsia="Times New Roman" w:hAnsi="Times New Roman"/>
          <w:sz w:val="24"/>
          <w:szCs w:val="24"/>
          <w:rtl w:val="0"/>
        </w:rPr>
        <w:t xml:space="preserve">Key Objective: Tie housing funding to transit density (building homes near bus/train stations).</w:t>
      </w:r>
    </w:p>
    <w:p w:rsidR="00000000" w:rsidDel="00000000" w:rsidP="00000000" w:rsidRDefault="00000000" w:rsidRPr="00000000" w14:paraId="00000146">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7">
      <w:pPr>
        <w:spacing w:after="200" w:before="200" w:lineRule="auto"/>
        <w:rPr>
          <w:rFonts w:ascii="Times New Roman" w:cs="Times New Roman" w:eastAsia="Times New Roman" w:hAnsi="Times New Roman"/>
          <w:sz w:val="24"/>
          <w:szCs w:val="24"/>
        </w:rPr>
      </w:pPr>
      <w:r w:rsidDel="00000000" w:rsidR="00000000" w:rsidRPr="00000000">
        <w:rPr>
          <w:rtl w:val="0"/>
        </w:rPr>
      </w:r>
    </w:p>
    <w:sectPr>
      <w:footerReference r:id="rId40" w:type="default"/>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8">
    <w:pPr>
      <w:jc w:val="cente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149">
    <w:pPr>
      <w:jc w:val="cente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______________________________________________________________</w:t>
    </w:r>
    <w:r w:rsidDel="00000000" w:rsidR="00000000" w:rsidRPr="00000000">
      <w:drawing>
        <wp:anchor allowOverlap="1" behindDoc="1" distB="114300" distT="114300" distL="114300" distR="114300" hidden="0" layoutInCell="1" locked="0" relativeHeight="0" simplePos="0">
          <wp:simplePos x="0" y="0"/>
          <wp:positionH relativeFrom="column">
            <wp:posOffset>1</wp:posOffset>
          </wp:positionH>
          <wp:positionV relativeFrom="paragraph">
            <wp:posOffset>228600</wp:posOffset>
          </wp:positionV>
          <wp:extent cx="538163" cy="538163"/>
          <wp:effectExtent b="0" l="0" r="0" t="0"/>
          <wp:wrapNone/>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38163" cy="538163"/>
                  </a:xfrm>
                  <a:prstGeom prst="rect"/>
                  <a:ln/>
                </pic:spPr>
              </pic:pic>
            </a:graphicData>
          </a:graphic>
        </wp:anchor>
      </w:drawing>
    </w:r>
  </w:p>
  <w:p w:rsidR="00000000" w:rsidDel="00000000" w:rsidP="00000000" w:rsidRDefault="00000000" w:rsidRPr="00000000" w14:paraId="0000014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30"/>
        <w:szCs w:val="30"/>
        <w:rtl w:val="0"/>
      </w:rPr>
      <w:t xml:space="preserve">King’sMUN’26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4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D">
    <w:pPr>
      <w:jc w:val="center"/>
      <w:rPr>
        <w:rFonts w:ascii="Times New Roman" w:cs="Times New Roman" w:eastAsia="Times New Roman" w:hAnsi="Times New Roman"/>
        <w:sz w:val="30"/>
        <w:szCs w:val="30"/>
      </w:rPr>
    </w:pPr>
    <w:r w:rsidDel="00000000" w:rsidR="00000000" w:rsidRPr="00000000">
      <w:rPr>
        <w:rtl w:val="0"/>
      </w:rPr>
    </w:r>
  </w:p>
  <w:p w:rsidR="00000000" w:rsidDel="00000000" w:rsidP="00000000" w:rsidRDefault="00000000" w:rsidRPr="00000000" w14:paraId="0000014E">
    <w:pPr>
      <w:jc w:val="center"/>
      <w:rPr>
        <w:rFonts w:ascii="Times New Roman" w:cs="Times New Roman" w:eastAsia="Times New Roman" w:hAnsi="Times New Roman"/>
        <w:sz w:val="30"/>
        <w:szCs w:val="30"/>
      </w:rPr>
    </w:pPr>
    <w:r w:rsidDel="00000000" w:rsidR="00000000" w:rsidRPr="00000000">
      <w:rPr>
        <w:rFonts w:ascii="Times New Roman" w:cs="Times New Roman" w:eastAsia="Times New Roman" w:hAnsi="Times New Roman"/>
        <w:sz w:val="30"/>
        <w:szCs w:val="30"/>
        <w:rtl w:val="0"/>
      </w:rPr>
      <w:t xml:space="preserve">______________________________________________________________</w:t>
    </w:r>
    <w:r w:rsidDel="00000000" w:rsidR="00000000" w:rsidRPr="00000000">
      <w:drawing>
        <wp:anchor allowOverlap="1" behindDoc="1" distB="114300" distT="114300" distL="114300" distR="114300" hidden="0" layoutInCell="1" locked="0" relativeHeight="0" simplePos="0">
          <wp:simplePos x="0" y="0"/>
          <wp:positionH relativeFrom="column">
            <wp:posOffset>1</wp:posOffset>
          </wp:positionH>
          <wp:positionV relativeFrom="paragraph">
            <wp:posOffset>228600</wp:posOffset>
          </wp:positionV>
          <wp:extent cx="538163" cy="538163"/>
          <wp:effectExtent b="0" l="0" r="0" t="0"/>
          <wp:wrapNone/>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38163" cy="538163"/>
                  </a:xfrm>
                  <a:prstGeom prst="rect"/>
                  <a:ln/>
                </pic:spPr>
              </pic:pic>
            </a:graphicData>
          </a:graphic>
        </wp:anchor>
      </w:drawing>
    </w:r>
  </w:p>
  <w:p w:rsidR="00000000" w:rsidDel="00000000" w:rsidP="00000000" w:rsidRDefault="00000000" w:rsidRPr="00000000" w14:paraId="0000014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sz w:val="30"/>
        <w:szCs w:val="30"/>
        <w:rtl w:val="0"/>
      </w:rPr>
      <w:t xml:space="preserve">King’sMUN’26       </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50">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footer" Target="footer3.xml"/><Relationship Id="rId20" Type="http://schemas.openxmlformats.org/officeDocument/2006/relationships/hyperlink" Target="https://www.canada.ca/en/canadian-heritage/services/combatting-racism-discrimination/canada-anti-racism-strategy.html" TargetMode="External"/><Relationship Id="rId22" Type="http://schemas.openxmlformats.org/officeDocument/2006/relationships/hyperlink" Target="https://pub-portcoquitlam.escribemeetings.com/filestream.ashx?DocumentId=12589" TargetMode="External"/><Relationship Id="rId21" Type="http://schemas.openxmlformats.org/officeDocument/2006/relationships/hyperlink" Target="https://www.cavalluzzo.com/resources/blog/post/item/em-employment-equity-act-em-task-force-report" TargetMode="External"/><Relationship Id="rId24" Type="http://schemas.openxmlformats.org/officeDocument/2006/relationships/hyperlink" Target="https://www.canada.ca/en/department-finance/programs/consultations/2024/consultation-on-confronting-financialization-housing.html" TargetMode="External"/><Relationship Id="rId23" Type="http://schemas.openxmlformats.org/officeDocument/2006/relationships/hyperlink" Target="https://budget.canada.ca/2024/home-accueil-en.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ondpcaucus.com/shadow_cabinet" TargetMode="External"/><Relationship Id="rId26" Type="http://schemas.openxmlformats.org/officeDocument/2006/relationships/hyperlink" Target="https://housingrightscanada.com/housing-policy-news-december-2024/" TargetMode="External"/><Relationship Id="rId25" Type="http://schemas.openxmlformats.org/officeDocument/2006/relationships/hyperlink" Target="https://hicksmorley.com/2023/12/14/employment-equity-act-task-force-releases-final-report/" TargetMode="External"/><Relationship Id="rId28" Type="http://schemas.openxmlformats.org/officeDocument/2006/relationships/hyperlink" Target="https://ised-isde.canada.ca/site/ised/sites/default/files/attachments/2022/50-30_Challenge_Prospectus-November_2020-V5.pdf" TargetMode="External"/><Relationship Id="rId27" Type="http://schemas.openxmlformats.org/officeDocument/2006/relationships/hyperlink" Target="https://housing-infrastructure.canada.ca/housing-logement/ptch-csd/nhs-progress-progres-snl-eng.html" TargetMode="External"/><Relationship Id="rId5" Type="http://schemas.openxmlformats.org/officeDocument/2006/relationships/styles" Target="styles.xml"/><Relationship Id="rId6" Type="http://schemas.openxmlformats.org/officeDocument/2006/relationships/hyperlink" Target="https://www.ourcommons.ca/members/en/search" TargetMode="External"/><Relationship Id="rId29" Type="http://schemas.openxmlformats.org/officeDocument/2006/relationships/hyperlink" Target="https://ised-isde.canada.ca/site/innovation-better-canada/en/artificial-intelligence-and-data-act-aida-companion-document" TargetMode="External"/><Relationship Id="rId7" Type="http://schemas.openxmlformats.org/officeDocument/2006/relationships/hyperlink" Target="https://www.pm.gc.ca/en/cabinet" TargetMode="External"/><Relationship Id="rId8" Type="http://schemas.openxmlformats.org/officeDocument/2006/relationships/hyperlink" Target="https://www.conservative.ca/team/shadow-cabinet/" TargetMode="External"/><Relationship Id="rId31" Type="http://schemas.openxmlformats.org/officeDocument/2006/relationships/hyperlink" Target="https://www.oag-bvg.gc.ca/internet/English/osh_20240411_e_44480.html" TargetMode="External"/><Relationship Id="rId30" Type="http://schemas.openxmlformats.org/officeDocument/2006/relationships/hyperlink" Target="https://www.niedb-cndea.ca/latest-news/national-reconciliation-the-27-7-billion-argument-for-ending-economic-marginalization/" TargetMode="External"/><Relationship Id="rId11" Type="http://schemas.openxmlformats.org/officeDocument/2006/relationships/image" Target="media/image3.png"/><Relationship Id="rId33" Type="http://schemas.openxmlformats.org/officeDocument/2006/relationships/hyperlink" Target="https://www150.statcan.gc.ca/n1/daily-quotidien/250709/dq250709a-eng.htm" TargetMode="External"/><Relationship Id="rId10" Type="http://schemas.openxmlformats.org/officeDocument/2006/relationships/image" Target="media/image1.png"/><Relationship Id="rId32" Type="http://schemas.openxmlformats.org/officeDocument/2006/relationships/hyperlink" Target="https://search.open.canada.ca/qpnotes/record/tbs-sct%2CTBS-2025-QP-06-00011" TargetMode="External"/><Relationship Id="rId13" Type="http://schemas.openxmlformats.org/officeDocument/2006/relationships/hyperlink" Target="https://www.statcan.gc.ca/" TargetMode="External"/><Relationship Id="rId35" Type="http://schemas.openxmlformats.org/officeDocument/2006/relationships/hyperlink" Target="https://economics.td.com/canadian-federal-budget" TargetMode="External"/><Relationship Id="rId12" Type="http://schemas.openxmlformats.org/officeDocument/2006/relationships/hyperlink" Target="mailto:danirumhekha@gmail.com" TargetMode="External"/><Relationship Id="rId34" Type="http://schemas.openxmlformats.org/officeDocument/2006/relationships/hyperlink" Target="https://www150.statcan.gc.ca/t1/tbl1/en/tv.action?pid=1410040101" TargetMode="External"/><Relationship Id="rId15" Type="http://schemas.openxmlformats.org/officeDocument/2006/relationships/hyperlink" Target="https://www.cmhc-schl.gc.ca/" TargetMode="External"/><Relationship Id="rId37" Type="http://schemas.openxmlformats.org/officeDocument/2006/relationships/hyperlink" Target="https://www.canada.ca/en/women-gender-equality/funding/equality-action/women-economy.html" TargetMode="External"/><Relationship Id="rId14" Type="http://schemas.openxmlformats.org/officeDocument/2006/relationships/hyperlink" Target="https://www.oag-bvg.gc.ca/" TargetMode="External"/><Relationship Id="rId36" Type="http://schemas.openxmlformats.org/officeDocument/2006/relationships/hyperlink" Target="https://www.townandcountrytoday.com/beyond-local/confidence-in-government-crashes-as-canadians-feel-left-behind-survey-reveals-9186277" TargetMode="External"/><Relationship Id="rId17" Type="http://schemas.openxmlformats.org/officeDocument/2006/relationships/hyperlink" Target="https://afn.ca/economy-infrastructure/infrastructure/closing-the-infrastructure-gap/housing/" TargetMode="External"/><Relationship Id="rId39" Type="http://schemas.openxmlformats.org/officeDocument/2006/relationships/footer" Target="footer2.xml"/><Relationship Id="rId16" Type="http://schemas.openxmlformats.org/officeDocument/2006/relationships/hyperlink" Target="https://www.chrc-ccdp.gc.ca/" TargetMode="External"/><Relationship Id="rId38" Type="http://schemas.openxmlformats.org/officeDocument/2006/relationships/footer" Target="footer1.xml"/><Relationship Id="rId19" Type="http://schemas.openxmlformats.org/officeDocument/2006/relationships/hyperlink" Target="https://www.cmhc-schl.gc.ca/en/professionals/housing-markets-data-and-research/housing-research/research-reports/2023/housing-shortages-canada-updating-how-much-we-need-by-2030-en" TargetMode="External"/><Relationship Id="rId18" Type="http://schemas.openxmlformats.org/officeDocument/2006/relationships/hyperlink" Target="https://www.cmhc-schl.gc.ca/professionals/housing-markets-data-and-research/market-reports/rental-market-reports-major-centr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