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40" w:before="240" w:line="360" w:lineRule="auto"/>
        <w:jc w:val="center"/>
        <w:rPr>
          <w:rFonts w:ascii="Times New Roman" w:cs="Times New Roman" w:eastAsia="Times New Roman" w:hAnsi="Times New Roman"/>
          <w:sz w:val="98"/>
          <w:szCs w:val="98"/>
        </w:rPr>
      </w:pPr>
      <w:r w:rsidDel="00000000" w:rsidR="00000000" w:rsidRPr="00000000">
        <w:rPr>
          <w:rFonts w:ascii="Times New Roman" w:cs="Times New Roman" w:eastAsia="Times New Roman" w:hAnsi="Times New Roman"/>
          <w:sz w:val="98"/>
          <w:szCs w:val="98"/>
          <w:rtl w:val="0"/>
        </w:rPr>
        <w:t xml:space="preserve">Grammys</w:t>
      </w:r>
    </w:p>
    <w:p w:rsidR="00000000" w:rsidDel="00000000" w:rsidP="00000000" w:rsidRDefault="00000000" w:rsidRPr="00000000" w14:paraId="00000002">
      <w:pPr>
        <w:spacing w:after="240"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465861" cy="4465861"/>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465861" cy="4465861"/>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after="240" w:before="24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after="240"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February 21st, 2026</w:t>
      </w:r>
    </w:p>
    <w:p w:rsidR="00000000" w:rsidDel="00000000" w:rsidP="00000000" w:rsidRDefault="00000000" w:rsidRPr="00000000" w14:paraId="00000005">
      <w:pPr>
        <w:spacing w:after="240"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Matt Mastronolardo</w:t>
      </w:r>
    </w:p>
    <w:p w:rsidR="00000000" w:rsidDel="00000000" w:rsidP="00000000" w:rsidRDefault="00000000" w:rsidRPr="00000000" w14:paraId="00000006">
      <w:pPr>
        <w:spacing w:after="240"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 Youssef</w:t>
      </w:r>
    </w:p>
    <w:p w:rsidR="00000000" w:rsidDel="00000000" w:rsidP="00000000" w:rsidRDefault="00000000" w:rsidRPr="00000000" w14:paraId="00000007">
      <w:pPr>
        <w:spacing w:after="240" w:before="240" w:line="36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after="240" w:before="240" w:line="360" w:lineRule="auto"/>
        <w:ind w:left="720" w:firstLine="0"/>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Table of Contents:</w:t>
      </w:r>
    </w:p>
    <w:p w:rsidR="00000000" w:rsidDel="00000000" w:rsidP="00000000" w:rsidRDefault="00000000" w:rsidRPr="00000000" w14:paraId="00000009">
      <w:pPr>
        <w:spacing w:after="240" w:before="240"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Page……………………………………………………………………………………1</w:t>
      </w:r>
    </w:p>
    <w:p w:rsidR="00000000" w:rsidDel="00000000" w:rsidP="00000000" w:rsidRDefault="00000000" w:rsidRPr="00000000" w14:paraId="0000000A">
      <w:pPr>
        <w:spacing w:after="240" w:before="240"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Secretary General’s Letter …………………………………………………………………. 3</w:t>
      </w:r>
    </w:p>
    <w:p w:rsidR="00000000" w:rsidDel="00000000" w:rsidP="00000000" w:rsidRDefault="00000000" w:rsidRPr="00000000" w14:paraId="0000000B">
      <w:pPr>
        <w:spacing w:after="240" w:before="240"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Introduction to Committee…………………………………………………………………..5</w:t>
      </w:r>
    </w:p>
    <w:p w:rsidR="00000000" w:rsidDel="00000000" w:rsidP="00000000" w:rsidRDefault="00000000" w:rsidRPr="00000000" w14:paraId="0000000C">
      <w:pPr>
        <w:spacing w:after="240" w:before="240"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Topic 1: Debate Over Top Artist of the Century………………………………………… 6-9</w:t>
      </w:r>
    </w:p>
    <w:p w:rsidR="00000000" w:rsidDel="00000000" w:rsidP="00000000" w:rsidRDefault="00000000" w:rsidRPr="00000000" w14:paraId="0000000D">
      <w:pPr>
        <w:spacing w:after="240" w:before="240"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Background to the issue…………………………………………………………… 6</w:t>
      </w:r>
    </w:p>
    <w:p w:rsidR="00000000" w:rsidDel="00000000" w:rsidP="00000000" w:rsidRDefault="00000000" w:rsidRPr="00000000" w14:paraId="0000000E">
      <w:pPr>
        <w:spacing w:after="240" w:before="240"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Relevant UN Action ………………………………………………………………7</w:t>
      </w:r>
    </w:p>
    <w:p w:rsidR="00000000" w:rsidDel="00000000" w:rsidP="00000000" w:rsidRDefault="00000000" w:rsidRPr="00000000" w14:paraId="0000000F">
      <w:pPr>
        <w:spacing w:after="240" w:before="240"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Questions to consider ……………………………………………………………… 9</w:t>
      </w:r>
    </w:p>
    <w:p w:rsidR="00000000" w:rsidDel="00000000" w:rsidP="00000000" w:rsidRDefault="00000000" w:rsidRPr="00000000" w14:paraId="00000010">
      <w:pPr>
        <w:spacing w:after="240" w:before="240"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Topic 2: Should artists accused of misconduct have their Grammy nominations or awards revoked ……………………………………………………………………………… 10-13</w:t>
      </w:r>
    </w:p>
    <w:p w:rsidR="00000000" w:rsidDel="00000000" w:rsidP="00000000" w:rsidRDefault="00000000" w:rsidRPr="00000000" w14:paraId="00000011">
      <w:pPr>
        <w:spacing w:after="240" w:before="240"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Background to the issue……………………………………………………………10</w:t>
      </w:r>
    </w:p>
    <w:p w:rsidR="00000000" w:rsidDel="00000000" w:rsidP="00000000" w:rsidRDefault="00000000" w:rsidRPr="00000000" w14:paraId="00000012">
      <w:pPr>
        <w:spacing w:after="240" w:before="240"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Relevant UN Action ………………………………………………………………11</w:t>
      </w:r>
    </w:p>
    <w:p w:rsidR="00000000" w:rsidDel="00000000" w:rsidP="00000000" w:rsidRDefault="00000000" w:rsidRPr="00000000" w14:paraId="00000013">
      <w:pPr>
        <w:spacing w:after="240" w:before="240"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Questions to consider ……………………………………………………………13</w:t>
      </w:r>
    </w:p>
    <w:p w:rsidR="00000000" w:rsidDel="00000000" w:rsidP="00000000" w:rsidRDefault="00000000" w:rsidRPr="00000000" w14:paraId="00000014">
      <w:pPr>
        <w:spacing w:after="240" w:before="240"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Expectations and Tips for Committee…………………………………………………… 14</w:t>
      </w:r>
    </w:p>
    <w:p w:rsidR="00000000" w:rsidDel="00000000" w:rsidP="00000000" w:rsidRDefault="00000000" w:rsidRPr="00000000" w14:paraId="00000015">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Bibliography ………………………………………………………………………… 15-17</w:t>
      </w:r>
    </w:p>
    <w:p w:rsidR="00000000" w:rsidDel="00000000" w:rsidP="00000000" w:rsidRDefault="00000000" w:rsidRPr="00000000" w14:paraId="00000016">
      <w:pPr>
        <w:spacing w:after="240" w:before="240"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after="240" w:before="240"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after="240" w:before="240"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after="240" w:before="240" w:line="360" w:lineRule="auto"/>
        <w:ind w:left="0" w:firstLine="0"/>
        <w:rPr>
          <w:rFonts w:ascii="Times New Roman" w:cs="Times New Roman" w:eastAsia="Times New Roman" w:hAnsi="Times New Roman"/>
          <w:b w:val="1"/>
          <w:bCs w:val="1"/>
          <w:sz w:val="28"/>
          <w:szCs w:val="28"/>
          <w:u w:val="single"/>
        </w:rPr>
      </w:pPr>
      <w:r w:rsidDel="00000000" w:rsidR="00000000" w:rsidRPr="00000000">
        <w:rPr>
          <w:rtl w:val="0"/>
        </w:rPr>
      </w:r>
    </w:p>
    <w:p w:rsidR="00000000" w:rsidDel="00000000" w:rsidP="00000000" w:rsidRDefault="00000000" w:rsidRPr="00000000" w14:paraId="0000001A">
      <w:pPr>
        <w:spacing w:after="240" w:before="240" w:line="360" w:lineRule="auto"/>
        <w:ind w:left="0" w:firstLine="0"/>
        <w:rPr>
          <w:rFonts w:ascii="Times New Roman" w:cs="Times New Roman" w:eastAsia="Times New Roman" w:hAnsi="Times New Roman"/>
          <w:b w:val="1"/>
          <w:bCs w:val="1"/>
          <w:sz w:val="28"/>
          <w:szCs w:val="28"/>
          <w:u w:val="single"/>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Letter from Secretary Generals</w:t>
      </w:r>
    </w:p>
    <w:p w:rsidR="00000000" w:rsidDel="00000000" w:rsidP="00000000" w:rsidRDefault="00000000" w:rsidRPr="00000000" w14:paraId="0000001C">
      <w:pPr>
        <w:rPr>
          <w:rFonts w:ascii="Times New Roman" w:cs="Times New Roman" w:eastAsia="Times New Roman" w:hAnsi="Times New Roman"/>
          <w:sz w:val="25"/>
          <w:szCs w:val="25"/>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Dear King’sMUN 2026 delegates,</w:t>
      </w:r>
    </w:p>
    <w:p w:rsidR="00000000" w:rsidDel="00000000" w:rsidP="00000000" w:rsidRDefault="00000000" w:rsidRPr="00000000" w14:paraId="0000001E">
      <w:pPr>
        <w:rPr>
          <w:rFonts w:ascii="Times New Roman" w:cs="Times New Roman" w:eastAsia="Times New Roman" w:hAnsi="Times New Roman"/>
          <w:sz w:val="25"/>
          <w:szCs w:val="25"/>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As this year’s Co-Secretary Generals of King’sMUN, we are truly honoured to welcome you to our 12th annual conference. The Secretariat has been working hard throughout this school year to deliver you an incredible, in-person conference with various unique committees, experienced chairs, and a fruitful day of debate. </w:t>
      </w:r>
    </w:p>
    <w:p w:rsidR="00000000" w:rsidDel="00000000" w:rsidP="00000000" w:rsidRDefault="00000000" w:rsidRPr="00000000" w14:paraId="00000020">
      <w:pPr>
        <w:rPr>
          <w:rFonts w:ascii="Times New Roman" w:cs="Times New Roman" w:eastAsia="Times New Roman" w:hAnsi="Times New Roman"/>
          <w:sz w:val="25"/>
          <w:szCs w:val="25"/>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Model United Nations, a reenactment of the function of the United Nations, is designed for students to come together to debate, discuss, and develop creative resolutions to various pressing issues that plague our current world. In most committees, students take on the positions of multiple countries, characters, or political figures to create solutions for real and fictional issues and crises. Our committees delve into historical events, future scenarios, and fictional topics.</w:t>
      </w:r>
    </w:p>
    <w:p w:rsidR="00000000" w:rsidDel="00000000" w:rsidP="00000000" w:rsidRDefault="00000000" w:rsidRPr="00000000" w14:paraId="00000022">
      <w:pPr>
        <w:rPr>
          <w:rFonts w:ascii="Times New Roman" w:cs="Times New Roman" w:eastAsia="Times New Roman" w:hAnsi="Times New Roman"/>
          <w:sz w:val="25"/>
          <w:szCs w:val="25"/>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In our personal experiences with MUN, we have developed many skillsets which will lead us throughout our lives, such as confidence in public speaking, leadership, collaboration,</w:t>
      </w:r>
    </w:p>
    <w:p w:rsidR="00000000" w:rsidDel="00000000" w:rsidP="00000000" w:rsidRDefault="00000000" w:rsidRPr="00000000" w14:paraId="00000024">
      <w:pPr>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and creative problem-solving. Furthermore, MUN promotes lifelong connections, as we meet delegates who share similar passions in committee sessions. We genuinely believe that your participation in MUN will guide you throughout your high school journey and beyond.</w:t>
      </w:r>
    </w:p>
    <w:p w:rsidR="00000000" w:rsidDel="00000000" w:rsidP="00000000" w:rsidRDefault="00000000" w:rsidRPr="00000000" w14:paraId="00000025">
      <w:pPr>
        <w:rPr>
          <w:rFonts w:ascii="Times New Roman" w:cs="Times New Roman" w:eastAsia="Times New Roman" w:hAnsi="Times New Roman"/>
          <w:sz w:val="25"/>
          <w:szCs w:val="25"/>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At King’sMUN, we provide a variety of committees to ensure that we have something of interest for everyone. From very current pressing issues (i.e. UNSC and the GA) and issues in sports (i.e. NFL) to fictional committees, yet applicable issues (i.e. Pokémon, Grammys, and Zootopia), issues set in our very own communities (i.e. Ontario Secondary and Post-Secondary Education and Government of Canada) and future-projected crises to promote critical thinking (i.e. Canada vs. U.S. and Artificial Intelligence). We strive to ensure that there is appeal for a variety of delegates, so that you can truly engage with MUN’s benefits in a way that resonates with you. Whether you have no experience or have attended many conferences, there is a place at King’sMUN for you!</w:t>
      </w:r>
    </w:p>
    <w:p w:rsidR="00000000" w:rsidDel="00000000" w:rsidP="00000000" w:rsidRDefault="00000000" w:rsidRPr="00000000" w14:paraId="00000027">
      <w:pPr>
        <w:rPr>
          <w:rFonts w:ascii="Times New Roman" w:cs="Times New Roman" w:eastAsia="Times New Roman" w:hAnsi="Times New Roman"/>
          <w:sz w:val="25"/>
          <w:szCs w:val="25"/>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Once again, we are thrilled to welcome all delegates, new or returning, to King’sMUN. We hope you will engage in fruitful debate and have a fantastic time at King’sMUN 2026.</w:t>
      </w:r>
    </w:p>
    <w:p w:rsidR="00000000" w:rsidDel="00000000" w:rsidP="00000000" w:rsidRDefault="00000000" w:rsidRPr="00000000" w14:paraId="00000029">
      <w:pPr>
        <w:rPr>
          <w:rFonts w:ascii="Times New Roman" w:cs="Times New Roman" w:eastAsia="Times New Roman" w:hAnsi="Times New Roman"/>
          <w:sz w:val="25"/>
          <w:szCs w:val="25"/>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Sincerely,</w:t>
      </w:r>
    </w:p>
    <w:p w:rsidR="00000000" w:rsidDel="00000000" w:rsidP="00000000" w:rsidRDefault="00000000" w:rsidRPr="00000000" w14:paraId="0000002B">
      <w:pPr>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Eva Hanoudi and Ishan Ramchandani</w:t>
      </w:r>
    </w:p>
    <w:p w:rsidR="00000000" w:rsidDel="00000000" w:rsidP="00000000" w:rsidRDefault="00000000" w:rsidRPr="00000000" w14:paraId="0000002C">
      <w:pPr>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Co-Secretary Generals </w:t>
      </w:r>
    </w:p>
    <w:p w:rsidR="00000000" w:rsidDel="00000000" w:rsidP="00000000" w:rsidRDefault="00000000" w:rsidRPr="00000000" w14:paraId="0000002D">
      <w:pPr>
        <w:rPr>
          <w:rFonts w:ascii="Times New Roman" w:cs="Times New Roman" w:eastAsia="Times New Roman" w:hAnsi="Times New Roman"/>
          <w:b w:val="1"/>
          <w:bCs w:val="1"/>
          <w:sz w:val="28"/>
          <w:szCs w:val="28"/>
          <w:u w:val="single"/>
        </w:rPr>
      </w:pPr>
      <w:r w:rsidDel="00000000" w:rsidR="00000000" w:rsidRPr="00000000">
        <w:rPr>
          <w:rFonts w:ascii="Times New Roman" w:cs="Times New Roman" w:eastAsia="Times New Roman" w:hAnsi="Times New Roman"/>
          <w:sz w:val="25"/>
          <w:szCs w:val="25"/>
          <w:rtl w:val="0"/>
        </w:rPr>
        <w:t xml:space="preserve">King’sMUN 2026</w:t>
      </w:r>
      <w:r w:rsidDel="00000000" w:rsidR="00000000" w:rsidRPr="00000000">
        <w:rPr>
          <w:rtl w:val="0"/>
        </w:rPr>
      </w:r>
    </w:p>
    <w:p w:rsidR="00000000" w:rsidDel="00000000" w:rsidP="00000000" w:rsidRDefault="00000000" w:rsidRPr="00000000" w14:paraId="0000002E">
      <w:pPr>
        <w:spacing w:after="240" w:before="240" w:line="360" w:lineRule="auto"/>
        <w:ind w:left="0" w:firstLine="0"/>
        <w:rPr>
          <w:rFonts w:ascii="Times New Roman" w:cs="Times New Roman" w:eastAsia="Times New Roman" w:hAnsi="Times New Roman"/>
          <w:b w:val="1"/>
          <w:bCs w:val="1"/>
          <w:sz w:val="28"/>
          <w:szCs w:val="28"/>
          <w:u w:val="single"/>
        </w:rPr>
      </w:pPr>
      <w:r w:rsidDel="00000000" w:rsidR="00000000" w:rsidRPr="00000000">
        <w:rPr>
          <w:rFonts w:ascii="Times New Roman" w:cs="Times New Roman" w:eastAsia="Times New Roman" w:hAnsi="Times New Roman"/>
          <w:b w:val="1"/>
          <w:bCs w:val="1"/>
          <w:sz w:val="28"/>
          <w:szCs w:val="28"/>
          <w:u w:val="single"/>
          <w:rtl w:val="0"/>
        </w:rPr>
        <w:t xml:space="preserve">Committee Background</w:t>
      </w:r>
    </w:p>
    <w:p w:rsidR="00000000" w:rsidDel="00000000" w:rsidP="00000000" w:rsidRDefault="00000000" w:rsidRPr="00000000" w14:paraId="0000002F">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Grammy Awards are presented by the Recording Academy to recognize outstanding achievement in the recording arts and sciences. Established in 1959, the Grammys have become one of the most influential institutions in the global music industry, shaping which artists are publicly recognized as culturally and artistically significant (Recording Academy, n.d.). Grammy recognition can significantly affect an artist’s career, commercial success, and long-term legacy.</w:t>
      </w:r>
    </w:p>
    <w:p w:rsidR="00000000" w:rsidDel="00000000" w:rsidP="00000000" w:rsidRDefault="00000000" w:rsidRPr="00000000" w14:paraId="00000030">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Grammys are decided through a peer-voting system. Eligible works are submitted each year, screened for category placement, and then voted on by Recording Academy members in two rounds: one to determine nominees and one to select winners. Importantly, Grammy awards are not fan-voted and are not formally based on sales, chart performance, or streaming numbers, although popularity may indirectly influence voters’ perceptions (Recording Academy, n.d.). This peer-based model positions the Grammys as an industry authority on artistic excellence rather than a direct reflection of public opinion.</w:t>
      </w:r>
    </w:p>
    <w:p w:rsidR="00000000" w:rsidDel="00000000" w:rsidP="00000000" w:rsidRDefault="00000000" w:rsidRPr="00000000" w14:paraId="00000031">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the same time, the Grammys have faced sustained criticism for lack of transparency and diversity. Reporting has shown that women and artists of color have historically been underrepresented in major award categories, raising concerns that institutional bias influences how “excellence” is defined and rewarded (BBC, 2021). In response, the Recording Academy has introduced reforms to diversify its voting membership and to increase transparency in the nomination process, including removing secret nomination committees in major categories (Recording Academy, 2020). More recently, the Academy's membership has grown significantly more diverse: since 2019, 66% of voting members are new additions, with over 3,000 women added (surpassing a 2019 goal of 2,500) and a 63% increase in members identifying as people of color. As of 2024, there are over 13,000 voting members, contributing to outcomes like the 2026 Grammys, where queer artists, Latinos, hip-hop figures, and young talents dominated, highlighting diverse representation across race, gender, age, sexuality, and languages (AP News, 2024; Yahoo, 2026).</w:t>
      </w:r>
    </w:p>
    <w:p w:rsidR="00000000" w:rsidDel="00000000" w:rsidP="00000000" w:rsidRDefault="00000000" w:rsidRPr="00000000" w14:paraId="00000032">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institutional dynamics are directly relevant to both agenda topics. Decisions about how to define the “Top Artist of the Century” and how to handle artists accused of misconduct will shape not only individual reputations, but also the cultural authority and legitimacy of the Grammys as a global institution.</w:t>
      </w:r>
    </w:p>
    <w:p w:rsidR="00000000" w:rsidDel="00000000" w:rsidP="00000000" w:rsidRDefault="00000000" w:rsidRPr="00000000" w14:paraId="00000033">
      <w:pPr>
        <w:spacing w:after="240" w:before="240" w:line="360" w:lineRule="auto"/>
        <w:ind w:left="720" w:firstLine="0"/>
        <w:rPr>
          <w:rFonts w:ascii="Times New Roman" w:cs="Times New Roman" w:eastAsia="Times New Roman" w:hAnsi="Times New Roman"/>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34">
      <w:pPr>
        <w:spacing w:after="240" w:before="240" w:line="360" w:lineRule="auto"/>
        <w:ind w:left="0"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Topic 1: Debate Over “Top Artist of the Century”</w:t>
      </w:r>
    </w:p>
    <w:p w:rsidR="00000000" w:rsidDel="00000000" w:rsidP="00000000" w:rsidRDefault="00000000" w:rsidRPr="00000000" w14:paraId="00000035">
      <w:pPr>
        <w:spacing w:after="240" w:before="240" w:line="360" w:lineRule="auto"/>
        <w:ind w:left="0" w:firstLine="0"/>
        <w:rPr>
          <w:rFonts w:ascii="Times New Roman" w:cs="Times New Roman" w:eastAsia="Times New Roman" w:hAnsi="Times New Roman"/>
          <w:b w:val="1"/>
          <w:bCs w:val="1"/>
          <w:sz w:val="28"/>
          <w:szCs w:val="28"/>
          <w:u w:val="single"/>
        </w:rPr>
      </w:pPr>
      <w:r w:rsidDel="00000000" w:rsidR="00000000" w:rsidRPr="00000000">
        <w:rPr>
          <w:rFonts w:ascii="Times New Roman" w:cs="Times New Roman" w:eastAsia="Times New Roman" w:hAnsi="Times New Roman"/>
          <w:b w:val="1"/>
          <w:bCs w:val="1"/>
          <w:sz w:val="28"/>
          <w:szCs w:val="28"/>
          <w:u w:val="single"/>
          <w:rtl w:val="0"/>
        </w:rPr>
        <w:t xml:space="preserve">Context</w:t>
      </w:r>
    </w:p>
    <w:p w:rsidR="00000000" w:rsidDel="00000000" w:rsidP="00000000" w:rsidRDefault="00000000" w:rsidRPr="00000000" w14:paraId="00000036">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idea of naming a “Top Artist of the Century” mirrors the societal culture about ranking artistic achievement. Media outlets such as Rolling Stone and Billboard regularly publish “greatest artists of all time” lists, which often spark controversy due to disagreements over criteria, representation, and perceived bias (Rolling Stone, 2020; Billboard, 2024). For example, Billboard's 2024 list of the “Greatest Pop Stars of the 21st Century” ranked Beyoncé at #1 and Taylor Swift at #2, igniting debates on social media and industry circles about commercial success, culture, and longevity versus innovation (Billboard, 2024; Reddit, 2024). If the Recording Academy were to formalize such a title, it would create an official definition of musical “greatness” spanning an entire century.</w:t>
      </w:r>
    </w:p>
    <w:p w:rsidR="00000000" w:rsidDel="00000000" w:rsidP="00000000" w:rsidRDefault="00000000" w:rsidRPr="00000000" w14:paraId="00000037">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Unlike regular Grammy awards, which evaluate works released within a specific 1-year eligibility period, a century-wide honor compares artists across vastly different technological, cultural, and industry contexts. Early and mid-20th century artists built influence through radio, physical album sales, and live performance circuits, while contemporary artists benefit from global digital platforms, streaming services, and social media amplification. Streaming now accounts for 69% of global recorded music revenue, dramatically reshaping how artists reach audiences and accumulate cultural influence (IFPI, 2025). As a result, quantitative metrics such as total streams or global reach structurally favor modern artists, complicating cross-era comparisons.</w:t>
      </w:r>
    </w:p>
    <w:p w:rsidR="00000000" w:rsidDel="00000000" w:rsidP="00000000" w:rsidRDefault="00000000" w:rsidRPr="00000000" w14:paraId="00000038">
      <w:pPr>
        <w:spacing w:after="240" w:before="240" w:line="360" w:lineRule="auto"/>
        <w:ind w:left="0" w:firstLine="0"/>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How Grammy Processes Relate to This Debate</w:t>
      </w:r>
    </w:p>
    <w:p w:rsidR="00000000" w:rsidDel="00000000" w:rsidP="00000000" w:rsidRDefault="00000000" w:rsidRPr="00000000" w14:paraId="00000039">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Grammys traditionally rely on peer evaluation by industry professionals rather than direct measures of popularity. This raises a key policy question for delegates: should a “Top Artist of the Century” be determined using the same peer-based model, or should it incorporate broader indicators such as commercial success, audience reach, and cultural impact?</w:t>
      </w:r>
    </w:p>
    <w:p w:rsidR="00000000" w:rsidDel="00000000" w:rsidP="00000000" w:rsidRDefault="00000000" w:rsidRPr="00000000" w14:paraId="0000003A">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Relying solely on peer voting may reproduce historical institutional biases, particularly given documented underrepresentation of women and artists of color in major Grammy categories (BBC, 2021). However, recent reforms, including expanded eligibility in categories like Best New Artist and the addition of new categories such as Best Traditional Country Album and Best Album Cover for the 2026 Grammys, aim to foster inclusivity (GRAMMY.com, 2025). At the same time, shifting toward popularity-based metrics risks redefining artistic excellence in purely commercial terms, potentially undermining the Grammys’ identity as a professional standard-setting institution.</w:t>
      </w:r>
    </w:p>
    <w:p w:rsidR="00000000" w:rsidDel="00000000" w:rsidP="00000000" w:rsidRDefault="00000000" w:rsidRPr="00000000" w14:paraId="0000003B">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Cultural scholars argue that artistic “greatness” is not an objective quality but is socially constructed through institutions, media narratives, and power structures. Canon formation in music often reflects whose voices are legitimized by cultural gatekeepers rather than a neutral assessment of innovation or influence (Negus, 2019). This critique suggests that how the Recording Academy defines and selects a “Top Artist of the Century” will have broader implications for whose contributions are remembered and celebrated.</w:t>
      </w:r>
    </w:p>
    <w:p w:rsidR="00000000" w:rsidDel="00000000" w:rsidP="00000000" w:rsidRDefault="00000000" w:rsidRPr="00000000" w14:paraId="0000003C">
      <w:pPr>
        <w:spacing w:after="240" w:before="240" w:line="360" w:lineRule="auto"/>
        <w:ind w:left="0" w:firstLine="0"/>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Key Policy Dilemmas</w:t>
      </w:r>
    </w:p>
    <w:p w:rsidR="00000000" w:rsidDel="00000000" w:rsidP="00000000" w:rsidRDefault="00000000" w:rsidRPr="00000000" w14:paraId="0000003D">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Delegates must determine what combination of criteria—peer recognition, commercial success, cultural influence, innovation, longevity, and representation—should define “Top Artist of the Century.” Each criterion privileges different forms of achievement and different types of artists. There is also the question of whether a single title can meaningfully capture a century of diverse musical traditions, genres, and global influences. Some argue that multiple honorees by era or genre would better reflect the complexity of musical history than a single symbolic figure (Rolling Stone, 2020; Billboard, 2024).</w:t>
      </w:r>
    </w:p>
    <w:p w:rsidR="00000000" w:rsidDel="00000000" w:rsidP="00000000" w:rsidRDefault="00000000" w:rsidRPr="00000000" w14:paraId="0000003E">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Guiding Questions</w:t>
      </w:r>
    </w:p>
    <w:p w:rsidR="00000000" w:rsidDel="00000000" w:rsidP="00000000" w:rsidRDefault="00000000" w:rsidRPr="00000000" w14:paraId="0000003F">
      <w:pPr>
        <w:numPr>
          <w:ilvl w:val="0"/>
          <w:numId w:val="2"/>
        </w:numPr>
        <w:spacing w:after="0" w:afterAutospacing="0" w:before="24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Should the selection process for “Top Artist of the Century” mirror the standard Grammy peer-voting model?</w:t>
      </w:r>
    </w:p>
    <w:p w:rsidR="00000000" w:rsidDel="00000000" w:rsidP="00000000" w:rsidRDefault="00000000" w:rsidRPr="00000000" w14:paraId="00000040">
      <w:pPr>
        <w:numPr>
          <w:ilvl w:val="0"/>
          <w:numId w:val="2"/>
        </w:numPr>
        <w:spacing w:after="0" w:afterAutospacing="0" w:before="0" w:before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can the Recording Academy account for technological and industry differences across eras?</w:t>
      </w:r>
    </w:p>
    <w:p w:rsidR="00000000" w:rsidDel="00000000" w:rsidP="00000000" w:rsidRDefault="00000000" w:rsidRPr="00000000" w14:paraId="00000041">
      <w:pPr>
        <w:numPr>
          <w:ilvl w:val="0"/>
          <w:numId w:val="2"/>
        </w:numPr>
        <w:spacing w:after="0" w:afterAutospacing="0" w:before="0" w:before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Should historical underrepresentation be explicitly considered in determining artistic legacy?</w:t>
      </w:r>
    </w:p>
    <w:p w:rsidR="00000000" w:rsidDel="00000000" w:rsidP="00000000" w:rsidRDefault="00000000" w:rsidRPr="00000000" w14:paraId="00000042">
      <w:pPr>
        <w:numPr>
          <w:ilvl w:val="0"/>
          <w:numId w:val="2"/>
        </w:numPr>
        <w:spacing w:after="240" w:before="0" w:before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a single “Top Artist” an appropriate way to recognize a century of music?</w:t>
      </w:r>
    </w:p>
    <w:p w:rsidR="00000000" w:rsidDel="00000000" w:rsidP="00000000" w:rsidRDefault="00000000" w:rsidRPr="00000000" w14:paraId="00000043">
      <w:pPr>
        <w:spacing w:after="240" w:before="240" w:line="360" w:lineRule="auto"/>
        <w:ind w:left="0"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Topic 2: Should Artists Accused of Misconduct Have Their Grammy Nominations or Awards Revoked?</w:t>
      </w:r>
    </w:p>
    <w:p w:rsidR="00000000" w:rsidDel="00000000" w:rsidP="00000000" w:rsidRDefault="00000000" w:rsidRPr="00000000" w14:paraId="00000044">
      <w:pPr>
        <w:spacing w:after="240" w:before="240" w:line="360" w:lineRule="auto"/>
        <w:ind w:left="0" w:firstLine="0"/>
        <w:rPr>
          <w:rFonts w:ascii="Times New Roman" w:cs="Times New Roman" w:eastAsia="Times New Roman" w:hAnsi="Times New Roman"/>
          <w:b w:val="1"/>
          <w:bCs w:val="1"/>
          <w:sz w:val="26"/>
          <w:szCs w:val="26"/>
          <w:u w:val="single"/>
        </w:rPr>
      </w:pPr>
      <w:r w:rsidDel="00000000" w:rsidR="00000000" w:rsidRPr="00000000">
        <w:rPr>
          <w:rFonts w:ascii="Times New Roman" w:cs="Times New Roman" w:eastAsia="Times New Roman" w:hAnsi="Times New Roman"/>
          <w:b w:val="1"/>
          <w:bCs w:val="1"/>
          <w:sz w:val="26"/>
          <w:szCs w:val="26"/>
          <w:u w:val="single"/>
          <w:rtl w:val="0"/>
        </w:rPr>
        <w:t xml:space="preserve">Context</w:t>
      </w:r>
    </w:p>
    <w:p w:rsidR="00000000" w:rsidDel="00000000" w:rsidP="00000000" w:rsidRDefault="00000000" w:rsidRPr="00000000" w14:paraId="00000045">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Public scrutiny of misconduct in the entertainment industry has intensified following the #MeToo movement, which exposed systemic patterns of abuse and power imbalance within cultural institutions (Kantor &amp; Twohey, 2017). These revelations have prompted debates over whether organizations such as the Recording Academy should continue to honour artists accused or convicted of serious wrongdoing.</w:t>
      </w:r>
    </w:p>
    <w:p w:rsidR="00000000" w:rsidDel="00000000" w:rsidP="00000000" w:rsidRDefault="00000000" w:rsidRPr="00000000" w14:paraId="00000046">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Grammys confer not only professional recognition but also symbolic legitimacy. Award ceremonies elevate artists as public figures and cultural role models. Continuing to honour artists accused of serious misconduct may be interpreted as institutional tolerance of harmful behaviour, particularly by survivors’ advocacy organizations that emphasize the importance of symbolic accountability by powerful institutions (RAINN, 2022). Examples include ongoing controversies around artists like Marilyn Manson, whose 2022 nomination persisted despite allegations, and historical cases involving figures like R. Kelly, where awards were not revoked post-conviction (NBC News, 2020; Reuters, 2021). The Recording Academy has no formal policy for revoking nominations or awards based on misconduct, focusing instead on voting integrity and prohibiting conflicts of interest or solicitation (Recording Academy, 2025).</w:t>
      </w:r>
    </w:p>
    <w:p w:rsidR="00000000" w:rsidDel="00000000" w:rsidP="00000000" w:rsidRDefault="00000000" w:rsidRPr="00000000" w14:paraId="00000047">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revoking awards raises legal and ethical concerns. Legal scholars caution against punitive actions based solely on allegations, emphasizing the importance of due process and the presumption of innocence (Luban, 2020). The Recording Academy must therefore decide whether its role is to align strictly with legal standards or to adopt its own ethical framework for honouring individuals.</w:t>
      </w:r>
    </w:p>
    <w:p w:rsidR="00000000" w:rsidDel="00000000" w:rsidP="00000000" w:rsidRDefault="00000000" w:rsidRPr="00000000" w14:paraId="00000048">
      <w:pPr>
        <w:spacing w:after="240" w:before="240" w:line="360" w:lineRule="auto"/>
        <w:ind w:left="0" w:firstLine="0"/>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Core Policy Dilemma</w:t>
      </w:r>
    </w:p>
    <w:p w:rsidR="00000000" w:rsidDel="00000000" w:rsidP="00000000" w:rsidRDefault="00000000" w:rsidRPr="00000000" w14:paraId="00000049">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central dilemma is determining the evidentiary threshold for action. Delegates must decide whether revocation should occur only after criminal conviction, after civil liability, or in response to credible, well-documented allegations. Narrow thresholds may appear to excuse harmful behaviour, while broader thresholds may risk unfairly penalizing individuals without legal findings.</w:t>
      </w:r>
    </w:p>
    <w:p w:rsidR="00000000" w:rsidDel="00000000" w:rsidP="00000000" w:rsidRDefault="00000000" w:rsidRPr="00000000" w14:paraId="0000004A">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tension concerns the separation of art from the artist. If Grammy Awards are understood as recognizing specific works, revocation may be seen as punishing art for personal conduct. If awards are understood as honouring individuals, revocation may be framed as an ethical necessity. Cultural theorists argue that institutional recognition inevitably legitimizes individuals, making full separation of art and artist difficult in practice (Carroll, 2010).</w:t>
      </w:r>
    </w:p>
    <w:p w:rsidR="00000000" w:rsidDel="00000000" w:rsidP="00000000" w:rsidRDefault="00000000" w:rsidRPr="00000000" w14:paraId="0000004B">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Consistency and transparency are also critical. Without clear, predefined policies, decisions to revoke or uphold awards may appear reactive or politically motivated, undermining public trust in the Recording Academy’s legitimacy—as seen in past scandals involving alleged rigging and conflicts (NY Times, 2020; AP News, 2020).</w:t>
      </w:r>
    </w:p>
    <w:p w:rsidR="00000000" w:rsidDel="00000000" w:rsidP="00000000" w:rsidRDefault="00000000" w:rsidRPr="00000000" w14:paraId="0000004C">
      <w:pPr>
        <w:spacing w:after="240" w:before="240" w:line="36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spacing w:after="240" w:before="240" w:line="360"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Guiding Questions</w:t>
      </w:r>
    </w:p>
    <w:p w:rsidR="00000000" w:rsidDel="00000000" w:rsidP="00000000" w:rsidRDefault="00000000" w:rsidRPr="00000000" w14:paraId="0000004E">
      <w:pPr>
        <w:numPr>
          <w:ilvl w:val="0"/>
          <w:numId w:val="1"/>
        </w:numPr>
        <w:spacing w:after="0" w:afterAutospacing="0" w:before="240"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Should the Grammys incorporate ethical standards into award eligibility and retention?</w:t>
      </w:r>
    </w:p>
    <w:p w:rsidR="00000000" w:rsidDel="00000000" w:rsidP="00000000" w:rsidRDefault="00000000" w:rsidRPr="00000000" w14:paraId="0000004F">
      <w:pPr>
        <w:numPr>
          <w:ilvl w:val="0"/>
          <w:numId w:val="1"/>
        </w:numPr>
        <w:spacing w:after="0" w:afterAutospacing="0" w:before="0" w:beforeAutospacing="0"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standard of evidence should trigger revocation or suspension of honours?</w:t>
      </w:r>
    </w:p>
    <w:p w:rsidR="00000000" w:rsidDel="00000000" w:rsidP="00000000" w:rsidRDefault="00000000" w:rsidRPr="00000000" w14:paraId="00000050">
      <w:pPr>
        <w:numPr>
          <w:ilvl w:val="0"/>
          <w:numId w:val="1"/>
        </w:numPr>
        <w:spacing w:after="0" w:afterAutospacing="0" w:before="0" w:beforeAutospacing="0"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How can the Academy balance due process with moral leadership?</w:t>
      </w:r>
    </w:p>
    <w:p w:rsidR="00000000" w:rsidDel="00000000" w:rsidP="00000000" w:rsidRDefault="00000000" w:rsidRPr="00000000" w14:paraId="00000051">
      <w:pPr>
        <w:numPr>
          <w:ilvl w:val="0"/>
          <w:numId w:val="1"/>
        </w:numPr>
        <w:spacing w:after="240" w:before="0" w:beforeAutospacing="0"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precedent would revocation policies set for other cultural institutions?</w:t>
      </w:r>
    </w:p>
    <w:p w:rsidR="00000000" w:rsidDel="00000000" w:rsidP="00000000" w:rsidRDefault="00000000" w:rsidRPr="00000000" w14:paraId="00000052">
      <w:pPr>
        <w:spacing w:after="240" w:before="240"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after="240" w:before="240"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after="240" w:before="240"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after="240" w:before="240"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after="240" w:before="240"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after="240" w:before="240"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after="240" w:before="240"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after="240" w:before="240" w:line="36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after="240" w:before="240" w:line="360" w:lineRule="auto"/>
        <w:ind w:left="0" w:firstLine="0"/>
        <w:rPr>
          <w:rFonts w:ascii="Times New Roman" w:cs="Times New Roman" w:eastAsia="Times New Roman" w:hAnsi="Times New Roman"/>
          <w:b w:val="1"/>
          <w:bCs w:val="1"/>
          <w:sz w:val="28"/>
          <w:szCs w:val="28"/>
          <w:u w:val="single"/>
        </w:rPr>
      </w:pPr>
      <w:r w:rsidDel="00000000" w:rsidR="00000000" w:rsidRPr="00000000">
        <w:rPr>
          <w:rFonts w:ascii="Times New Roman" w:cs="Times New Roman" w:eastAsia="Times New Roman" w:hAnsi="Times New Roman"/>
          <w:b w:val="1"/>
          <w:bCs w:val="1"/>
          <w:sz w:val="28"/>
          <w:szCs w:val="28"/>
          <w:u w:val="single"/>
          <w:rtl w:val="0"/>
        </w:rPr>
        <w:t xml:space="preserve">References</w:t>
      </w:r>
    </w:p>
    <w:p w:rsidR="00000000" w:rsidDel="00000000" w:rsidP="00000000" w:rsidRDefault="00000000" w:rsidRPr="00000000" w14:paraId="0000005B">
      <w:pPr>
        <w:spacing w:after="240" w:before="240"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 News. (2024). The GRAMMYs' voting body is more diverse, with 66% new members. What does it mean for the awards?</w:t>
      </w:r>
    </w:p>
    <w:p w:rsidR="00000000" w:rsidDel="00000000" w:rsidP="00000000" w:rsidRDefault="00000000" w:rsidRPr="00000000" w14:paraId="0000005C">
      <w:pPr>
        <w:spacing w:after="240" w:before="240"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BBC. (2021). Grammys: Why diversity remains a major issue.</w:t>
      </w:r>
    </w:p>
    <w:p w:rsidR="00000000" w:rsidDel="00000000" w:rsidP="00000000" w:rsidRDefault="00000000" w:rsidRPr="00000000" w14:paraId="0000005D">
      <w:pPr>
        <w:spacing w:after="240" w:before="240"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Billboard. (2024). Greatest Pop Stars of the 21st Century.</w:t>
      </w:r>
    </w:p>
    <w:p w:rsidR="00000000" w:rsidDel="00000000" w:rsidP="00000000" w:rsidRDefault="00000000" w:rsidRPr="00000000" w14:paraId="0000005E">
      <w:pPr>
        <w:spacing w:after="240" w:before="240"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Carroll, N. (2010). Art in Three Dimensions. Oxford University Press.</w:t>
      </w:r>
    </w:p>
    <w:p w:rsidR="00000000" w:rsidDel="00000000" w:rsidP="00000000" w:rsidRDefault="00000000" w:rsidRPr="00000000" w14:paraId="0000005F">
      <w:pPr>
        <w:spacing w:after="240" w:before="240"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IFPI. (2025). Global Music Report 2025.</w:t>
      </w:r>
    </w:p>
    <w:p w:rsidR="00000000" w:rsidDel="00000000" w:rsidP="00000000" w:rsidRDefault="00000000" w:rsidRPr="00000000" w14:paraId="00000060">
      <w:pPr>
        <w:spacing w:after="240" w:before="240"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Kantor, J., &amp; Twohey, M. (2017). Harvey Weinstein paid off sexual harassment accusers for decades. The New York Times.</w:t>
      </w:r>
    </w:p>
    <w:p w:rsidR="00000000" w:rsidDel="00000000" w:rsidP="00000000" w:rsidRDefault="00000000" w:rsidRPr="00000000" w14:paraId="00000061">
      <w:pPr>
        <w:spacing w:after="240" w:before="240"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Luban, D. (2020). Legal ethics and institutional responsibility in the age of #MeToo. Georgetown Journal of Legal Ethics.</w:t>
      </w:r>
    </w:p>
    <w:p w:rsidR="00000000" w:rsidDel="00000000" w:rsidP="00000000" w:rsidRDefault="00000000" w:rsidRPr="00000000" w14:paraId="00000062">
      <w:pPr>
        <w:spacing w:after="240" w:before="240"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Negus, K. (2019). Music Genres and Corporate Cultures. Routledge.</w:t>
      </w:r>
    </w:p>
    <w:p w:rsidR="00000000" w:rsidDel="00000000" w:rsidP="00000000" w:rsidRDefault="00000000" w:rsidRPr="00000000" w14:paraId="00000063">
      <w:pPr>
        <w:spacing w:after="240" w:before="240"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NY Times. (2020). Grammys Chief Calls Her Removal Retaliation for Exposing 'Boys' Club'.</w:t>
      </w:r>
    </w:p>
    <w:p w:rsidR="00000000" w:rsidDel="00000000" w:rsidP="00000000" w:rsidRDefault="00000000" w:rsidRPr="00000000" w14:paraId="00000064">
      <w:pPr>
        <w:spacing w:after="240" w:before="240"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RAINN. (2022). The role of institutions in responding to sexual violence.</w:t>
      </w:r>
    </w:p>
    <w:p w:rsidR="00000000" w:rsidDel="00000000" w:rsidP="00000000" w:rsidRDefault="00000000" w:rsidRPr="00000000" w14:paraId="00000065">
      <w:pPr>
        <w:spacing w:after="240" w:before="240"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Recording Academy. (n.d.). About the Grammys / How the Grammys work.</w:t>
      </w:r>
    </w:p>
    <w:p w:rsidR="00000000" w:rsidDel="00000000" w:rsidP="00000000" w:rsidRDefault="00000000" w:rsidRPr="00000000" w14:paraId="00000066">
      <w:pPr>
        <w:spacing w:after="240" w:before="240"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Recording Academy. (2020). Updates to Grammy Awards process and voting reforms.</w:t>
      </w:r>
    </w:p>
    <w:p w:rsidR="00000000" w:rsidDel="00000000" w:rsidP="00000000" w:rsidRDefault="00000000" w:rsidRPr="00000000" w14:paraId="00000067">
      <w:pPr>
        <w:spacing w:after="240" w:before="240"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Recording Academy. (2025). Voting and Solicitation Guidelines.</w:t>
      </w:r>
    </w:p>
    <w:p w:rsidR="00000000" w:rsidDel="00000000" w:rsidP="00000000" w:rsidRDefault="00000000" w:rsidRPr="00000000" w14:paraId="00000068">
      <w:pPr>
        <w:spacing w:after="240" w:before="240"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Reuters. (2021). Grammy organizers change rules after allegations of corruption.</w:t>
      </w:r>
    </w:p>
    <w:p w:rsidR="00000000" w:rsidDel="00000000" w:rsidP="00000000" w:rsidRDefault="00000000" w:rsidRPr="00000000" w14:paraId="00000069">
      <w:pPr>
        <w:spacing w:after="240" w:before="240"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Rolling Stone. (2020). The 100 Greatest Artists of All Time.</w:t>
      </w:r>
    </w:p>
    <w:p w:rsidR="00000000" w:rsidDel="00000000" w:rsidP="00000000" w:rsidRDefault="00000000" w:rsidRPr="00000000" w14:paraId="0000006A">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Yahoo. (2026). Grammys 2026 was a nightmare to anti-DEI mob, and Trump is furious.</w:t>
      </w:r>
    </w:p>
    <w:p w:rsidR="00000000" w:rsidDel="00000000" w:rsidP="00000000" w:rsidRDefault="00000000" w:rsidRPr="00000000" w14:paraId="0000006B">
      <w:pPr>
        <w:spacing w:after="240" w:before="240"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sectPr>
      <w:pgSz w:h="15840" w:w="12240" w:orient="portrait"/>
      <w:pgMar w:bottom="1349.2913385826773" w:top="1349.2913385826773" w:left="1349.2913385826773" w:right="1349.291338582677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